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74938" w14:textId="77777777" w:rsidR="008F3A60" w:rsidRDefault="008F3A60" w:rsidP="00C03E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F6DBB1" w14:textId="163A61D1" w:rsidR="00585D71" w:rsidRPr="008F3A60" w:rsidRDefault="0078462C" w:rsidP="00C03E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A60">
        <w:rPr>
          <w:rFonts w:ascii="Times New Roman" w:hAnsi="Times New Roman" w:cs="Times New Roman"/>
          <w:b/>
          <w:sz w:val="28"/>
          <w:szCs w:val="28"/>
          <w:u w:val="single"/>
        </w:rPr>
        <w:t>RECOMANDARILE DE VACCINARE COVID 19 PENTRU PACIENTII CU PATOLOGII HEMATOLOGICE IN ROMANIA</w:t>
      </w:r>
    </w:p>
    <w:p w14:paraId="1C69EB94" w14:textId="77777777" w:rsidR="0078462C" w:rsidRPr="00E655F4" w:rsidRDefault="0078462C" w:rsidP="00E228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7F59CC" w14:textId="6A4EF933" w:rsidR="00585D71" w:rsidRDefault="006764AE" w:rsidP="00E2287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patologie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hematologica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D54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 </w:t>
      </w:r>
      <w:proofErr w:type="spellStart"/>
      <w:r w:rsidR="008D54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indicatie</w:t>
      </w:r>
      <w:proofErr w:type="spellEnd"/>
      <w:r w:rsidR="008D54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vaccina</w:t>
      </w:r>
      <w:r w:rsidR="008D54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proofErr w:type="spellEnd"/>
      <w:r w:rsidR="00C41F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majoritatea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acestora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încadrează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grupele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prioritare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vaccinare</w:t>
      </w:r>
      <w:proofErr w:type="spellEnd"/>
      <w:r w:rsidR="00585D71" w:rsidRPr="00E65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66925100" w14:textId="77777777" w:rsidR="008F3A60" w:rsidRPr="00E655F4" w:rsidRDefault="008F3A60" w:rsidP="00E2287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ADB4EA" w14:textId="4B8DD5E6" w:rsidR="005A5FBB" w:rsidRPr="008F3A60" w:rsidRDefault="005A5FBB" w:rsidP="00E2287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Considerente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teoretice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in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ceea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ce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priveste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vaccinarea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F3A60">
        <w:rPr>
          <w:rFonts w:ascii="Times New Roman" w:hAnsi="Times New Roman" w:cs="Times New Roman"/>
          <w:b/>
          <w:bCs/>
          <w:sz w:val="26"/>
          <w:szCs w:val="26"/>
        </w:rPr>
        <w:t>pacientului</w:t>
      </w:r>
      <w:proofErr w:type="spellEnd"/>
      <w:r w:rsidRPr="008F3A60">
        <w:rPr>
          <w:rFonts w:ascii="Times New Roman" w:hAnsi="Times New Roman" w:cs="Times New Roman"/>
          <w:b/>
          <w:bCs/>
          <w:sz w:val="26"/>
          <w:szCs w:val="26"/>
        </w:rPr>
        <w:t xml:space="preserve"> hematologic:</w:t>
      </w:r>
    </w:p>
    <w:p w14:paraId="4DE0DCD6" w14:textId="3C8F8B49" w:rsidR="006764AE" w:rsidRPr="00E655F4" w:rsidRDefault="006764AE" w:rsidP="00E228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5F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vaccinuri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Pr="00E655F4">
        <w:rPr>
          <w:rFonts w:ascii="Times New Roman" w:hAnsi="Times New Roman" w:cs="Times New Roman"/>
          <w:i/>
          <w:iCs/>
          <w:sz w:val="24"/>
          <w:szCs w:val="24"/>
        </w:rPr>
        <w:t>(BNT162b2 Pfizer-</w:t>
      </w:r>
      <w:proofErr w:type="spellStart"/>
      <w:r w:rsidRPr="00E655F4">
        <w:rPr>
          <w:rFonts w:ascii="Times New Roman" w:hAnsi="Times New Roman" w:cs="Times New Roman"/>
          <w:i/>
          <w:iCs/>
          <w:sz w:val="24"/>
          <w:szCs w:val="24"/>
        </w:rPr>
        <w:t>BioNTech</w:t>
      </w:r>
      <w:proofErr w:type="spellEnd"/>
      <w:r w:rsidRPr="00E655F4">
        <w:rPr>
          <w:rFonts w:ascii="Times New Roman" w:hAnsi="Times New Roman" w:cs="Times New Roman"/>
          <w:i/>
          <w:iCs/>
          <w:sz w:val="24"/>
          <w:szCs w:val="24"/>
        </w:rPr>
        <w:t xml:space="preserve">, mRNA-1273 </w:t>
      </w:r>
      <w:proofErr w:type="spellStart"/>
      <w:r w:rsidRPr="00E655F4">
        <w:rPr>
          <w:rFonts w:ascii="Times New Roman" w:hAnsi="Times New Roman" w:cs="Times New Roman"/>
          <w:i/>
          <w:iCs/>
          <w:sz w:val="24"/>
          <w:szCs w:val="24"/>
        </w:rPr>
        <w:t>Moderna</w:t>
      </w:r>
      <w:proofErr w:type="spellEnd"/>
      <w:r w:rsidRPr="00E655F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655F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(EUA).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conventionale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care un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induce un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raspuns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caruia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="00F00F64" w:rsidRPr="00E655F4">
        <w:rPr>
          <w:rFonts w:ascii="Times New Roman" w:hAnsi="Times New Roman" w:cs="Times New Roman"/>
          <w:sz w:val="24"/>
          <w:szCs w:val="24"/>
        </w:rPr>
        <w:t>inactiv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F64" w:rsidRPr="00E655F4">
        <w:rPr>
          <w:rFonts w:ascii="Times New Roman" w:hAnsi="Times New Roman" w:cs="Times New Roman"/>
          <w:sz w:val="24"/>
          <w:szCs w:val="24"/>
        </w:rPr>
        <w:t>proteine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virale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recombinate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imunitatii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. </w:t>
      </w:r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21FD5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cu un adenovirus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atenuat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la care s-a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anulat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replicare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proteina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spike a Sars-cov-2, precum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pe ARN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mesager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codifica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proteina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spike a Sars-cov-2. Conform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effectuate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obtinute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au la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raspunsurile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imune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umorale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celulare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Provocările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121FD5" w:rsidRPr="00E655F4">
        <w:rPr>
          <w:rFonts w:ascii="Times New Roman" w:hAnsi="Times New Roman" w:cs="Times New Roman"/>
          <w:sz w:val="24"/>
          <w:szCs w:val="24"/>
        </w:rPr>
        <w:t xml:space="preserve">care au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existat</w:t>
      </w:r>
      <w:proofErr w:type="spellEnd"/>
      <w:r w:rsidR="00121FD5" w:rsidRPr="00E655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121FD5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21FD5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vaccin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SARS-CoV-2 </w:t>
      </w:r>
      <w:r w:rsidR="00E22872" w:rsidRPr="00E655F4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1FD5" w:rsidRPr="00E655F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="00121FD5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fabricarea</w:t>
      </w:r>
      <w:proofErr w:type="spellEnd"/>
      <w:proofErr w:type="gram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scară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larga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21FD5" w:rsidRPr="00E655F4">
        <w:rPr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distribuți</w:t>
      </w:r>
      <w:r w:rsidR="00E22872" w:rsidRPr="00E655F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, </w:t>
      </w:r>
      <w:r w:rsidR="00E22872" w:rsidRPr="00E655F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condiții</w:t>
      </w:r>
      <w:r w:rsidR="00E22872" w:rsidRPr="00E655F4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optime </w:t>
      </w:r>
      <w:r w:rsidR="00853B76" w:rsidRPr="00E655F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reconstituire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de nano</w:t>
      </w:r>
      <w:r w:rsidR="00121FD5" w:rsidRPr="00E655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particule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lipidice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121FD5" w:rsidRPr="00E655F4">
        <w:rPr>
          <w:rFonts w:ascii="Times New Roman" w:hAnsi="Times New Roman" w:cs="Times New Roman"/>
          <w:sz w:val="24"/>
          <w:szCs w:val="24"/>
        </w:rPr>
        <w:t xml:space="preserve">de ARN </w:t>
      </w:r>
      <w:proofErr w:type="spellStart"/>
      <w:r w:rsidR="00121FD5" w:rsidRPr="00E655F4">
        <w:rPr>
          <w:rFonts w:ascii="Times New Roman" w:hAnsi="Times New Roman" w:cs="Times New Roman"/>
          <w:sz w:val="24"/>
          <w:szCs w:val="24"/>
        </w:rPr>
        <w:t>mesager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temperaturi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scăzute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53B76" w:rsidRPr="00E655F4">
        <w:rPr>
          <w:rFonts w:ascii="Times New Roman" w:hAnsi="Times New Roman" w:cs="Times New Roman"/>
          <w:sz w:val="24"/>
          <w:szCs w:val="24"/>
        </w:rPr>
        <w:t>vaccinului</w:t>
      </w:r>
      <w:proofErr w:type="spellEnd"/>
      <w:r w:rsidR="00853B76"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1FD5" w:rsidRPr="00E655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>accinurile</w:t>
      </w:r>
      <w:proofErr w:type="spellEnd"/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>obtinute</w:t>
      </w:r>
      <w:proofErr w:type="spellEnd"/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>pana</w:t>
      </w:r>
      <w:proofErr w:type="spellEnd"/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>prezent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necesita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inoculări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separate</w:t>
      </w:r>
      <w:r w:rsidR="00E22872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la interval</w:t>
      </w:r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trei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până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patru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săptămâni</w:t>
      </w:r>
      <w:proofErr w:type="spellEnd"/>
      <w:r w:rsidR="00853B76" w:rsidRPr="00E655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22D5DC" w14:textId="0325CC14" w:rsidR="00E22872" w:rsidRPr="00E655F4" w:rsidRDefault="00E22872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E655F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ciuda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inrolati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fază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2/3,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niciun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clinic actual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vaccin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COVID-19 nu </w:t>
      </w:r>
      <w:proofErr w:type="gram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inclus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pacienți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imunocompromiși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SARS-CoV-2 nu 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stabilit</w:t>
      </w:r>
      <w:r w:rsidR="00121FD5" w:rsidRPr="00E655F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121FD5" w:rsidRPr="00E655F4">
        <w:rPr>
          <w:rFonts w:ascii="Times New Roman" w:hAnsi="Times New Roman" w:cs="Times New Roman"/>
          <w:sz w:val="24"/>
          <w:szCs w:val="24"/>
        </w:rPr>
        <w:t>pe</w:t>
      </w:r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diferite</w:t>
      </w:r>
      <w:r w:rsidR="00121FD5" w:rsidRPr="00E655F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populații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imunocompromiși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>.</w:t>
      </w:r>
      <w:r w:rsidR="00310BB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a genera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protectoare</w:t>
      </w:r>
      <w:proofErr w:type="spellEnd"/>
      <w:r w:rsidR="00310BB6" w:rsidRPr="00E655F4">
        <w:rPr>
          <w:rFonts w:ascii="Times New Roman" w:hAnsi="Times New Roman" w:cs="Times New Roman"/>
          <w:sz w:val="24"/>
          <w:szCs w:val="24"/>
        </w:rPr>
        <w:t xml:space="preserve"> -</w:t>
      </w:r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optimă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310BB6" w:rsidRPr="00E655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imunitatea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gazdei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fie intacta,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310BB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generata</w:t>
      </w:r>
      <w:proofErr w:type="spellEnd"/>
      <w:r w:rsidR="00310BB6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celulele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="00310BB6" w:rsidRPr="00E655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="00310BB6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antigenelor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r w:rsidR="00310BB6" w:rsidRPr="00E655F4">
        <w:rPr>
          <w:rFonts w:ascii="Times New Roman" w:hAnsi="Times New Roman" w:cs="Times New Roman"/>
          <w:sz w:val="24"/>
          <w:szCs w:val="24"/>
        </w:rPr>
        <w:t xml:space="preserve">ulterior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activarea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limfocitelor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generarea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anticorpi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310BB6" w:rsidRPr="00E655F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BB6" w:rsidRPr="00E655F4">
        <w:rPr>
          <w:rFonts w:ascii="Times New Roman" w:hAnsi="Times New Roman" w:cs="Times New Roman"/>
          <w:sz w:val="24"/>
          <w:szCs w:val="24"/>
        </w:rPr>
        <w:t>limfocitele</w:t>
      </w:r>
      <w:proofErr w:type="spellEnd"/>
      <w:r w:rsidR="00310BB6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Pr="00E655F4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plasmatice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549C" w:rsidRPr="008D549C">
        <w:rPr>
          <w:rFonts w:ascii="Times New Roman" w:hAnsi="Times New Roman" w:cs="Times New Roman"/>
          <w:b/>
          <w:bCs/>
          <w:sz w:val="24"/>
          <w:szCs w:val="24"/>
        </w:rPr>
        <w:t>pacientii</w:t>
      </w:r>
      <w:proofErr w:type="spellEnd"/>
      <w:r w:rsidR="008D549C"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549C" w:rsidRPr="008D549C">
        <w:rPr>
          <w:rFonts w:ascii="Times New Roman" w:hAnsi="Times New Roman" w:cs="Times New Roman"/>
          <w:b/>
          <w:bCs/>
          <w:sz w:val="24"/>
          <w:szCs w:val="24"/>
        </w:rPr>
        <w:t>imunoscompromisi</w:t>
      </w:r>
      <w:proofErr w:type="spellEnd"/>
      <w:r w:rsidR="008D54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gazdele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adapt</w:t>
      </w:r>
      <w:r w:rsidR="00310BB6" w:rsidRPr="00E655F4">
        <w:rPr>
          <w:rFonts w:ascii="Times New Roman" w:hAnsi="Times New Roman" w:cs="Times New Roman"/>
          <w:sz w:val="24"/>
          <w:szCs w:val="24"/>
        </w:rPr>
        <w:t>at</w:t>
      </w:r>
      <w:r w:rsidRPr="00E655F4">
        <w:rPr>
          <w:rFonts w:ascii="Times New Roman" w:hAnsi="Times New Roman" w:cs="Times New Roman"/>
          <w:sz w:val="24"/>
          <w:szCs w:val="24"/>
        </w:rPr>
        <w:t xml:space="preserve">ive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="008D549C">
        <w:rPr>
          <w:rFonts w:ascii="Times New Roman" w:hAnsi="Times New Roman" w:cs="Times New Roman"/>
          <w:sz w:val="24"/>
          <w:szCs w:val="24"/>
        </w:rPr>
        <w:t>)</w:t>
      </w:r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pot fi </w:t>
      </w:r>
      <w:proofErr w:type="spell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imposibilitatea</w:t>
      </w:r>
      <w:proofErr w:type="spell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4501D5"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549C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genera un </w:t>
      </w:r>
      <w:proofErr w:type="spell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răspuns</w:t>
      </w:r>
      <w:proofErr w:type="spell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imun</w:t>
      </w:r>
      <w:proofErr w:type="spell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complet</w:t>
      </w:r>
      <w:proofErr w:type="spell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protector la un </w:t>
      </w:r>
      <w:proofErr w:type="spellStart"/>
      <w:r w:rsidRPr="008D549C">
        <w:rPr>
          <w:rFonts w:ascii="Times New Roman" w:hAnsi="Times New Roman" w:cs="Times New Roman"/>
          <w:b/>
          <w:bCs/>
          <w:sz w:val="24"/>
          <w:szCs w:val="24"/>
        </w:rPr>
        <w:t>vaccin</w:t>
      </w:r>
      <w:proofErr w:type="spellEnd"/>
      <w:r w:rsidRPr="008D549C">
        <w:rPr>
          <w:rFonts w:ascii="Times New Roman" w:hAnsi="Times New Roman" w:cs="Times New Roman"/>
          <w:b/>
          <w:bCs/>
          <w:sz w:val="24"/>
          <w:szCs w:val="24"/>
        </w:rPr>
        <w:t xml:space="preserve"> SARS-CoV-2</w:t>
      </w:r>
      <w:r w:rsidR="008D54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D45EE7" w14:textId="4A2129BE" w:rsidR="00310BB6" w:rsidRPr="00E655F4" w:rsidRDefault="004501D5" w:rsidP="00E228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55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310BB6" w:rsidRPr="00E655F4">
        <w:rPr>
          <w:rFonts w:ascii="Times New Roman" w:hAnsi="Times New Roman" w:cs="Times New Roman"/>
          <w:b/>
          <w:sz w:val="24"/>
          <w:szCs w:val="24"/>
          <w:lang w:val="ro-RO"/>
        </w:rPr>
        <w:t>Imunosupresia</w:t>
      </w:r>
      <w:r w:rsidRPr="00E655F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poate fi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cauzată de o boala sau 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>tratament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si in aceasta categorie de pacienti sunt 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>inclu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pacienții imunosupresati postchimioterapie, pacienții care efectuează radioterapie, pacienții care efectuează transplant de celule st</w:t>
      </w:r>
      <w:r w:rsidR="000F7CA6" w:rsidRPr="00E655F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m hematopoietice, </w:t>
      </w:r>
      <w:r w:rsidR="00121FD5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pacientii cu 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>mielom multiplu sau boli genetice care afectează sistemul imun</w:t>
      </w:r>
      <w:r w:rsidR="00121FD5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>boli ale complementului (SCID)</w:t>
      </w:r>
      <w:r w:rsidR="00121FD5" w:rsidRPr="00E655F4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>acienții care primesc tratament imunosupresor sau tratament imunomodulat</w:t>
      </w:r>
      <w:r w:rsidR="00121FD5" w:rsidRPr="00E655F4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>r biologic</w:t>
      </w:r>
      <w:r w:rsidR="00AA14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10BB6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1FD5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Este considerat </w:t>
      </w:r>
      <w:r w:rsidR="00121FD5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imunosupresat o</w:t>
      </w:r>
      <w:r w:rsidR="00310BB6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t>rice pacient cu istoric de patologie hematologică</w:t>
      </w:r>
      <w:r w:rsidR="00AA14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maligna</w:t>
      </w:r>
      <w:r w:rsidR="00310BB6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21FD5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t>precum</w:t>
      </w:r>
      <w:r w:rsidR="00310BB6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leucemie, limfom, mielom</w:t>
      </w:r>
      <w:r w:rsidR="008D549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23731FE2" w14:textId="307EFC9F" w:rsidR="00E22872" w:rsidRPr="00E655F4" w:rsidRDefault="00C03E3B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E655F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populații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imunocompromiși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AA14F4">
        <w:rPr>
          <w:rFonts w:ascii="Times New Roman" w:hAnsi="Times New Roman" w:cs="Times New Roman"/>
          <w:b/>
          <w:bCs/>
          <w:sz w:val="24"/>
          <w:szCs w:val="24"/>
        </w:rPr>
        <w:t>avea</w:t>
      </w:r>
      <w:proofErr w:type="spellEnd"/>
      <w:r w:rsidR="00E22872" w:rsidRPr="00AA14F4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E22872" w:rsidRPr="00AA14F4">
        <w:rPr>
          <w:rFonts w:ascii="Times New Roman" w:hAnsi="Times New Roman" w:cs="Times New Roman"/>
          <w:b/>
          <w:bCs/>
          <w:sz w:val="24"/>
          <w:szCs w:val="24"/>
        </w:rPr>
        <w:t>răspuns</w:t>
      </w:r>
      <w:proofErr w:type="spellEnd"/>
      <w:r w:rsidR="00E22872" w:rsidRPr="00AA14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2872" w:rsidRPr="00AA14F4">
        <w:rPr>
          <w:rFonts w:ascii="Times New Roman" w:hAnsi="Times New Roman" w:cs="Times New Roman"/>
          <w:b/>
          <w:bCs/>
          <w:sz w:val="24"/>
          <w:szCs w:val="24"/>
        </w:rPr>
        <w:t>atenuat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absent la </w:t>
      </w:r>
      <w:proofErr w:type="spellStart"/>
      <w:r w:rsidR="00E22872" w:rsidRPr="00E655F4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="00E22872" w:rsidRPr="00E655F4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121FD5"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121FD5" w:rsidRPr="00E655F4">
        <w:rPr>
          <w:rFonts w:ascii="Times New Roman" w:hAnsi="Times New Roman" w:cs="Times New Roman"/>
          <w:b/>
          <w:bCs/>
          <w:sz w:val="24"/>
          <w:szCs w:val="24"/>
          <w:lang w:val="ro-RO"/>
        </w:rPr>
        <w:t>răspuns imunologic suboptim la vaccinare</w:t>
      </w:r>
      <w:r w:rsidR="00121FD5" w:rsidRPr="00E655F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22872" w:rsidRPr="00E655F4">
        <w:rPr>
          <w:rFonts w:ascii="Times New Roman" w:hAnsi="Times New Roman" w:cs="Times New Roman"/>
          <w:sz w:val="24"/>
          <w:szCs w:val="24"/>
        </w:rPr>
        <w:t>:</w:t>
      </w:r>
    </w:p>
    <w:p w14:paraId="1C591134" w14:textId="3A1487EE" w:rsidR="00C03E3B" w:rsidRPr="00E655F4" w:rsidRDefault="00E22872" w:rsidP="00E228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Imunodeficiențe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adapt</w:t>
      </w:r>
      <w:r w:rsidR="00C03E3B" w:rsidRPr="00E655F4">
        <w:rPr>
          <w:rFonts w:ascii="Times New Roman" w:hAnsi="Times New Roman" w:cs="Times New Roman"/>
          <w:sz w:val="24"/>
          <w:szCs w:val="24"/>
        </w:rPr>
        <w:t>at</w:t>
      </w:r>
      <w:r w:rsidRPr="00E655F4">
        <w:rPr>
          <w:rFonts w:ascii="Times New Roman" w:hAnsi="Times New Roman" w:cs="Times New Roman"/>
          <w:sz w:val="24"/>
          <w:szCs w:val="24"/>
        </w:rPr>
        <w:t>ivă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>;</w:t>
      </w:r>
    </w:p>
    <w:p w14:paraId="6D3E508F" w14:textId="40AF8B67" w:rsidR="00C03E3B" w:rsidRPr="00E655F4" w:rsidRDefault="00E22872" w:rsidP="00E228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Splenectomie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asplenie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funcțională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siclemie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>)</w:t>
      </w:r>
      <w:r w:rsidR="00C03E3B" w:rsidRPr="00E655F4">
        <w:rPr>
          <w:rFonts w:ascii="Times New Roman" w:hAnsi="Times New Roman" w:cs="Times New Roman"/>
          <w:sz w:val="24"/>
          <w:szCs w:val="24"/>
        </w:rPr>
        <w:t>;</w:t>
      </w:r>
    </w:p>
    <w:p w14:paraId="1F311C39" w14:textId="2983D55F" w:rsidR="00C03E3B" w:rsidRPr="00E655F4" w:rsidRDefault="00E22872" w:rsidP="00E228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tintite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limfocitului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B (de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blocarea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anticorpi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monoclonali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C03E3B" w:rsidRPr="00E655F4">
        <w:rPr>
          <w:rFonts w:ascii="Times New Roman" w:hAnsi="Times New Roman" w:cs="Times New Roman"/>
          <w:sz w:val="24"/>
          <w:szCs w:val="24"/>
        </w:rPr>
        <w:t>anti</w:t>
      </w:r>
      <w:r w:rsidRPr="00E655F4">
        <w:rPr>
          <w:rFonts w:ascii="Times New Roman" w:hAnsi="Times New Roman" w:cs="Times New Roman"/>
          <w:sz w:val="24"/>
          <w:szCs w:val="24"/>
        </w:rPr>
        <w:t xml:space="preserve"> CD20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C03E3B" w:rsidRPr="00E655F4">
        <w:rPr>
          <w:rFonts w:ascii="Times New Roman" w:hAnsi="Times New Roman" w:cs="Times New Roman"/>
          <w:sz w:val="24"/>
          <w:szCs w:val="24"/>
        </w:rPr>
        <w:t xml:space="preserve">anti </w:t>
      </w:r>
      <w:r w:rsidRPr="00E655F4">
        <w:rPr>
          <w:rFonts w:ascii="Times New Roman" w:hAnsi="Times New Roman" w:cs="Times New Roman"/>
          <w:sz w:val="24"/>
          <w:szCs w:val="24"/>
        </w:rPr>
        <w:t xml:space="preserve">CD22,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agenți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bispecifici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precum Blinatumomab,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celul</w:t>
      </w:r>
      <w:r w:rsidR="00C03E3B" w:rsidRPr="00E655F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precum</w:t>
      </w:r>
      <w:r w:rsidRPr="00E655F4">
        <w:rPr>
          <w:rFonts w:ascii="Times New Roman" w:hAnsi="Times New Roman" w:cs="Times New Roman"/>
          <w:sz w:val="24"/>
          <w:szCs w:val="24"/>
        </w:rPr>
        <w:t xml:space="preserve"> CAR-T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directionate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Pr="00E655F4">
        <w:rPr>
          <w:rFonts w:ascii="Times New Roman" w:hAnsi="Times New Roman" w:cs="Times New Roman"/>
          <w:sz w:val="24"/>
          <w:szCs w:val="24"/>
        </w:rPr>
        <w:t xml:space="preserve">CD19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CD22,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inhibitori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BTK)</w:t>
      </w:r>
      <w:r w:rsidR="00C03E3B" w:rsidRPr="00E655F4">
        <w:rPr>
          <w:rFonts w:ascii="Times New Roman" w:hAnsi="Times New Roman" w:cs="Times New Roman"/>
          <w:sz w:val="24"/>
          <w:szCs w:val="24"/>
        </w:rPr>
        <w:t>;</w:t>
      </w:r>
    </w:p>
    <w:p w14:paraId="7BD70767" w14:textId="77777777" w:rsidR="00C03E3B" w:rsidRPr="00E655F4" w:rsidRDefault="00E22872" w:rsidP="00E228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tintite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3B" w:rsidRPr="00E655F4">
        <w:rPr>
          <w:rFonts w:ascii="Times New Roman" w:hAnsi="Times New Roman" w:cs="Times New Roman"/>
          <w:sz w:val="24"/>
          <w:szCs w:val="24"/>
        </w:rPr>
        <w:t>limfocitului</w:t>
      </w:r>
      <w:proofErr w:type="spellEnd"/>
      <w:r w:rsidR="00C03E3B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Pr="00E655F4">
        <w:rPr>
          <w:rFonts w:ascii="Times New Roman" w:hAnsi="Times New Roman" w:cs="Times New Roman"/>
          <w:sz w:val="24"/>
          <w:szCs w:val="24"/>
        </w:rPr>
        <w:t xml:space="preserve">T (de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inhibitori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Calcineurină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Globulină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antitimocitara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>, Alemtuzumab</w:t>
      </w:r>
      <w:r w:rsidR="00C03E3B" w:rsidRPr="00E655F4">
        <w:rPr>
          <w:rFonts w:ascii="Times New Roman" w:hAnsi="Times New Roman" w:cs="Times New Roman"/>
          <w:sz w:val="24"/>
          <w:szCs w:val="24"/>
        </w:rPr>
        <w:t>);</w:t>
      </w:r>
    </w:p>
    <w:p w14:paraId="0D9C7F84" w14:textId="255ECF1D" w:rsidR="009D06E9" w:rsidRPr="00E655F4" w:rsidRDefault="00E22872" w:rsidP="00E228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Corticosteroiz</w:t>
      </w:r>
      <w:r w:rsidR="009D06E9" w:rsidRPr="00E655F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9D06E9" w:rsidRPr="00E655F4">
        <w:rPr>
          <w:rFonts w:ascii="Times New Roman" w:hAnsi="Times New Roman" w:cs="Times New Roman"/>
          <w:sz w:val="24"/>
          <w:szCs w:val="24"/>
        </w:rPr>
        <w:t xml:space="preserve"> in</w:t>
      </w:r>
      <w:r w:rsidRPr="00E655F4">
        <w:rPr>
          <w:rFonts w:ascii="Times New Roman" w:hAnsi="Times New Roman" w:cs="Times New Roman"/>
          <w:sz w:val="24"/>
          <w:szCs w:val="24"/>
        </w:rPr>
        <w:t xml:space="preserve"> doze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(20 mg per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doză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&gt;</w:t>
      </w:r>
      <w:r w:rsidR="00B90D7A"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Pr="00E655F4">
        <w:rPr>
          <w:rFonts w:ascii="Times New Roman" w:hAnsi="Times New Roman" w:cs="Times New Roman"/>
          <w:sz w:val="24"/>
          <w:szCs w:val="24"/>
        </w:rPr>
        <w:t>2 mg/kg/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prednison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>)</w:t>
      </w:r>
      <w:r w:rsidR="009D06E9" w:rsidRPr="00E655F4">
        <w:rPr>
          <w:rFonts w:ascii="Times New Roman" w:hAnsi="Times New Roman" w:cs="Times New Roman"/>
          <w:sz w:val="24"/>
          <w:szCs w:val="24"/>
        </w:rPr>
        <w:t>;</w:t>
      </w:r>
    </w:p>
    <w:p w14:paraId="1B529298" w14:textId="32396A1A" w:rsidR="009D06E9" w:rsidRPr="00E655F4" w:rsidRDefault="00E22872" w:rsidP="00E228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Transplantul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hematopoietice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(HCT),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3-6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AA14F4">
        <w:rPr>
          <w:rFonts w:ascii="Times New Roman" w:hAnsi="Times New Roman" w:cs="Times New Roman"/>
          <w:sz w:val="24"/>
          <w:szCs w:val="24"/>
        </w:rPr>
        <w:t xml:space="preserve">transplant de </w:t>
      </w:r>
      <w:proofErr w:type="spellStart"/>
      <w:r w:rsidR="00AA14F4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="00AA14F4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="00AA14F4">
        <w:rPr>
          <w:rFonts w:ascii="Times New Roman" w:hAnsi="Times New Roman" w:cs="Times New Roman"/>
          <w:sz w:val="24"/>
          <w:szCs w:val="24"/>
        </w:rPr>
        <w:t>hematopoietice</w:t>
      </w:r>
      <w:proofErr w:type="spellEnd"/>
      <w:r w:rsidR="00AA1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99886" w14:textId="1B11E68B" w:rsidR="00547504" w:rsidRPr="00AA14F4" w:rsidRDefault="00E22872" w:rsidP="00AA14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aberantă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subiacentă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grefa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>-contra-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gazdă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(GVHD),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grefei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reconstituirea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absentă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incompletă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>, neutropenia &lt;500/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limfopenia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&lt;200/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1F6227" w:rsidRPr="00E655F4">
        <w:rPr>
          <w:rFonts w:ascii="Times New Roman" w:hAnsi="Times New Roman" w:cs="Times New Roman"/>
          <w:sz w:val="24"/>
          <w:szCs w:val="24"/>
        </w:rPr>
        <w:t>.</w:t>
      </w:r>
      <w:r w:rsidR="00964262" w:rsidRPr="00AA14F4">
        <w:rPr>
          <w:rFonts w:ascii="Times New Roman" w:hAnsi="Times New Roman" w:cs="Times New Roman"/>
          <w:sz w:val="24"/>
          <w:szCs w:val="24"/>
        </w:rPr>
        <w:t xml:space="preserve">        </w:t>
      </w:r>
      <w:r w:rsidR="00587EE2" w:rsidRPr="00AA14F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957D102" w14:textId="0AE5B9EC" w:rsidR="00453431" w:rsidRPr="00E655F4" w:rsidRDefault="00453431" w:rsidP="00E228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5F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Riscurile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beneficiile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pacienții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imunocompromiși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primesc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vaccin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SARS-CoV-2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trebuie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cântărite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luând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considerare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incidența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infecției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comunitate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Majoritatea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experților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recomandă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vaccinarea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atât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timp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cât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vaccinul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sigur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utilizare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chiar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rata de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așteptată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mică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decât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populația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generală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7FDAF2" w14:textId="77777777" w:rsidR="000E6F05" w:rsidRPr="003A73DE" w:rsidRDefault="000E6F05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E655F4">
        <w:rPr>
          <w:rFonts w:ascii="Times New Roman" w:hAnsi="Times New Roman" w:cs="Times New Roman"/>
          <w:sz w:val="24"/>
          <w:szCs w:val="24"/>
        </w:rPr>
        <w:t xml:space="preserve">       Important,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vaccinarea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schimbă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comportamentele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precauție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, cum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purtarea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mastii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distanțarea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socială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igiena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frecventă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655F4">
        <w:rPr>
          <w:rFonts w:ascii="Times New Roman" w:hAnsi="Times New Roman" w:cs="Times New Roman"/>
          <w:b/>
          <w:bCs/>
          <w:sz w:val="24"/>
          <w:szCs w:val="24"/>
        </w:rPr>
        <w:t>mâinilor</w:t>
      </w:r>
      <w:proofErr w:type="spellEnd"/>
      <w:r w:rsidRPr="00E655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antigripală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imunocompromiși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a reduce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povara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infecției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gripale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posibilei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infecții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cu SRAS-CoV-2.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lucrătorii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de contact din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vaccin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55F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sz w:val="24"/>
          <w:szCs w:val="24"/>
        </w:rPr>
        <w:t>imunocompromiși</w:t>
      </w:r>
      <w:proofErr w:type="spellEnd"/>
      <w:r w:rsidRPr="00E655F4">
        <w:rPr>
          <w:rFonts w:ascii="Times New Roman" w:hAnsi="Times New Roman" w:cs="Times New Roman"/>
          <w:sz w:val="24"/>
          <w:szCs w:val="24"/>
        </w:rPr>
        <w:t xml:space="preserve">, similar cu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gripă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>.</w:t>
      </w:r>
    </w:p>
    <w:p w14:paraId="7EA49E7A" w14:textId="7212FB1F" w:rsidR="00585D71" w:rsidRPr="003A73DE" w:rsidRDefault="00E655F4" w:rsidP="00E228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6F05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764AE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Pacienții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primesc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chimioterapie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imunosupresie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primi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vaccinul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sub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recomandarea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medicului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curant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decide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acesta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poate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administra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siguranța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6F05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care </w:t>
      </w:r>
      <w:proofErr w:type="spellStart"/>
      <w:r w:rsidR="000E6F05" w:rsidRPr="003A73DE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="000E6F05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momentul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oportun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vaccinării</w:t>
      </w:r>
      <w:proofErr w:type="spellEnd"/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38D882" w14:textId="43400E82" w:rsidR="003A73DE" w:rsidRPr="003A73DE" w:rsidRDefault="003A73DE" w:rsidP="00E22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vaccinate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supravegheate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73DE"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entru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eventuale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le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reactii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adverse tardive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,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eventual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cele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locale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,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paci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</w:t>
      </w:r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ntul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trebuie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sa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ia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legatura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cu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medicul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curant</w:t>
      </w:r>
      <w:proofErr w:type="spellEnd"/>
      <w:r w:rsidRPr="003A73DE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</w:p>
    <w:p w14:paraId="61DB1762" w14:textId="2D07149D" w:rsidR="000C3A56" w:rsidRPr="003A73DE" w:rsidRDefault="000C3A56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Chiar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daca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pacientii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imunocompromiși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infectati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anterior cu SARS-CoV-2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nu,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lucru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trebuie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afecteze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decizia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Deși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anticipează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oarecare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infecției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COVID-19,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insuficientă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scădea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special la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imunocompromise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A484D" w14:textId="4BA5A711" w:rsidR="00585D71" w:rsidRPr="003A73DE" w:rsidRDefault="00E655F4" w:rsidP="00E2287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       </w:t>
      </w:r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Considerente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practice in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ceea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ce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priveste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vaccinarea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pacientului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cu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diferite</w:t>
      </w:r>
      <w:r w:rsidR="00037536" w:rsidRPr="003A73DE">
        <w:rPr>
          <w:rFonts w:ascii="Times New Roman" w:hAnsi="Times New Roman" w:cs="Times New Roman"/>
          <w:b/>
          <w:bCs/>
          <w:sz w:val="26"/>
          <w:szCs w:val="26"/>
        </w:rPr>
        <w:t>le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patologii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hematologice</w:t>
      </w:r>
      <w:proofErr w:type="spellEnd"/>
      <w:r w:rsidR="005A5FBB" w:rsidRPr="003A73D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E0D08ED" w14:textId="415B0C8D" w:rsidR="00492F24" w:rsidRPr="003A73DE" w:rsidRDefault="00492F24" w:rsidP="00E22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mixt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imunizare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(JCVI) 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care sunt definite ca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extrem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clinic.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Consensul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general,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hematologici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beneficiile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vaccinului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depășesc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mult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orice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efectele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secundare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potențiale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vaccinului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riscurile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asociate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infectarea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cu COVID-19.</w:t>
      </w:r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r w:rsidR="00055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47496" w14:textId="0E122413" w:rsidR="00585D71" w:rsidRPr="003A73DE" w:rsidRDefault="005A5FBB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3DE">
        <w:rPr>
          <w:rFonts w:ascii="Times New Roman" w:hAnsi="Times New Roman" w:cs="Times New Roman"/>
          <w:b/>
          <w:sz w:val="24"/>
          <w:szCs w:val="24"/>
        </w:rPr>
        <w:t xml:space="preserve">B. 1. </w:t>
      </w:r>
      <w:r w:rsidR="00AC6ECC" w:rsidRPr="003A73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5D71" w:rsidRPr="003A73DE">
        <w:rPr>
          <w:rFonts w:ascii="Times New Roman" w:hAnsi="Times New Roman" w:cs="Times New Roman"/>
          <w:b/>
          <w:sz w:val="24"/>
          <w:szCs w:val="24"/>
        </w:rPr>
        <w:t>TULBURĂRILE DE COAGULARE</w:t>
      </w:r>
    </w:p>
    <w:p w14:paraId="2CFA0D9B" w14:textId="25D890BF" w:rsidR="0048292A" w:rsidRPr="003A73DE" w:rsidRDefault="0048292A" w:rsidP="0048292A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Tulburările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ereditare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coagulare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cresc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dobândi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vaccinati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national.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sine nu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acești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intra-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musculară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sângerare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injectării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Deocamdată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dovezi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subcutanată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>.</w:t>
      </w:r>
    </w:p>
    <w:p w14:paraId="2B0CC62B" w14:textId="77777777" w:rsidR="0048292A" w:rsidRPr="003A73DE" w:rsidRDefault="0048292A" w:rsidP="0048292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hemofilie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severă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profilaxie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factor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concentrat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doza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profilactică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normala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92F2C" w14:textId="77777777" w:rsidR="0048292A" w:rsidRPr="003A73DE" w:rsidRDefault="0048292A" w:rsidP="0048292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tulburări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usoare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moderate ale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coagularii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pot face,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general, o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injecție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intra-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musculară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hemostatic.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vreo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incertitudine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sfatul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hemofilie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>.</w:t>
      </w:r>
    </w:p>
    <w:p w14:paraId="7FDE1BBB" w14:textId="77777777" w:rsidR="0048292A" w:rsidRPr="003A73DE" w:rsidRDefault="0048292A" w:rsidP="00232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tratați</w:t>
      </w:r>
      <w:proofErr w:type="spellEnd"/>
      <w:r w:rsidRPr="003A73D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b/>
          <w:bCs/>
          <w:sz w:val="24"/>
          <w:szCs w:val="24"/>
        </w:rPr>
        <w:t>emicizumab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vaccinați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controlati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terapeutic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un status similar cu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hemofilia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moderata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A06AA" w14:textId="6A84B344" w:rsidR="0048292A" w:rsidRPr="003A73DE" w:rsidRDefault="0048292A" w:rsidP="00232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Alți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tratați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r w:rsidRPr="003A73DE">
        <w:rPr>
          <w:rFonts w:ascii="Times New Roman" w:hAnsi="Times New Roman" w:cs="Times New Roman"/>
          <w:b/>
          <w:bCs/>
          <w:sz w:val="24"/>
          <w:szCs w:val="24"/>
        </w:rPr>
        <w:t>individual.</w:t>
      </w:r>
    </w:p>
    <w:p w14:paraId="04C65720" w14:textId="14D3F24B" w:rsidR="00DE1822" w:rsidRPr="003A73DE" w:rsidRDefault="0048292A" w:rsidP="0048292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entru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vaccinare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trebui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utilizeze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 ac fin</w:t>
      </w:r>
      <w:r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23-25 G),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urmat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o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presiune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ferma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aplicată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locul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injectării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dar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fără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frecare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pt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puțin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minute</w:t>
      </w:r>
      <w:r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pacientul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trebuie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despre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formarii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unui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hematom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urma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procedurii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vaccinare</w:t>
      </w:r>
      <w:proofErr w:type="spellEnd"/>
      <w:r w:rsidR="00DE1822" w:rsidRPr="003A7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 </w:t>
      </w:r>
    </w:p>
    <w:p w14:paraId="3D607DDD" w14:textId="14097E11" w:rsidR="00585D71" w:rsidRPr="003A73DE" w:rsidRDefault="00633967" w:rsidP="00E228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3DE">
        <w:rPr>
          <w:rFonts w:ascii="Times New Roman" w:hAnsi="Times New Roman" w:cs="Times New Roman"/>
          <w:b/>
          <w:sz w:val="24"/>
          <w:szCs w:val="24"/>
        </w:rPr>
        <w:t xml:space="preserve">B. 1. 1 </w:t>
      </w:r>
      <w:r w:rsidR="00585D71" w:rsidRPr="003A73DE">
        <w:rPr>
          <w:rFonts w:ascii="Times New Roman" w:hAnsi="Times New Roman" w:cs="Times New Roman"/>
          <w:b/>
          <w:bCs/>
          <w:sz w:val="24"/>
          <w:szCs w:val="24"/>
        </w:rPr>
        <w:t>PACIENȚII CU TERAPIE ANTICOAGULANT SAU ANTIPLACHETARA</w:t>
      </w:r>
    </w:p>
    <w:p w14:paraId="39C94B3F" w14:textId="6F34CE45" w:rsidR="00585D71" w:rsidRPr="003A73DE" w:rsidRDefault="00633967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       </w:t>
      </w:r>
      <w:r w:rsidR="00585D71" w:rsidRPr="003A73D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aceasi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imunizare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intramusculara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coagulare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sângerare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3A73DE">
        <w:rPr>
          <w:rFonts w:ascii="Times New Roman" w:hAnsi="Times New Roman" w:cs="Times New Roman"/>
          <w:sz w:val="24"/>
          <w:szCs w:val="24"/>
        </w:rPr>
        <w:t>injectării</w:t>
      </w:r>
      <w:proofErr w:type="spellEnd"/>
      <w:r w:rsidR="00585D71" w:rsidRPr="003A73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8E09C" w14:textId="77777777" w:rsidR="00633967" w:rsidRPr="003A73DE" w:rsidRDefault="00633967" w:rsidP="006339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anticoagulare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intensitate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standard cu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warfarină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(INR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2.0 - 3.0) pot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injecții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intra-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atâta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recent INR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&lt;3.0. Nu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un control INR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46D8C" w14:textId="77777777" w:rsidR="00633967" w:rsidRDefault="00633967" w:rsidP="006339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967">
        <w:rPr>
          <w:rFonts w:ascii="Times New Roman" w:hAnsi="Times New Roman" w:cs="Times New Roman"/>
          <w:sz w:val="24"/>
          <w:szCs w:val="24"/>
        </w:rPr>
        <w:lastRenderedPageBreak/>
        <w:t>Pacienții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anticoagulante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heparină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terapeutică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greutate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moleculară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fondaparinux pot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întârzia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doza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vaccinării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injecția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intramusculară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rateze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doză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8E546" w14:textId="77777777" w:rsidR="00633967" w:rsidRDefault="00633967" w:rsidP="006339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967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tratați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antiplachetar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agent (de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aspirină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clopidogrel) pot continua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>.</w:t>
      </w:r>
    </w:p>
    <w:p w14:paraId="6C0B7B16" w14:textId="77777777" w:rsidR="00633967" w:rsidRDefault="00633967" w:rsidP="0063396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967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antitrombotic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intensitate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mare, de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warfarina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INR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țintă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&gt; 3,0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medicamente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antitrombotice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duale,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tratați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individual.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cu interval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sugerăm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INR </w:t>
      </w:r>
      <w:proofErr w:type="spellStart"/>
      <w:r w:rsidRPr="0063396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33967">
        <w:rPr>
          <w:rFonts w:ascii="Times New Roman" w:hAnsi="Times New Roman" w:cs="Times New Roman"/>
          <w:sz w:val="24"/>
          <w:szCs w:val="24"/>
        </w:rPr>
        <w:t xml:space="preserve"> &lt;4,0. </w:t>
      </w:r>
    </w:p>
    <w:p w14:paraId="03E11A7C" w14:textId="24949603" w:rsidR="00633967" w:rsidRPr="00633967" w:rsidRDefault="00633967" w:rsidP="0063396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Riscul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formare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hematomului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trebuie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redus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aplicarea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unei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presiuni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ferme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locul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injecției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timp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puțin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 minute</w:t>
      </w:r>
      <w:proofErr w:type="gram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după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aceea</w:t>
      </w:r>
      <w:proofErr w:type="spellEnd"/>
      <w:r w:rsidRPr="0063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D8078D7" w14:textId="676A2BE5" w:rsidR="00585D71" w:rsidRPr="00633967" w:rsidRDefault="00585D71" w:rsidP="00633967">
      <w:pPr>
        <w:jc w:val="both"/>
        <w:rPr>
          <w:rFonts w:ascii="Times New Roman" w:hAnsi="Times New Roman" w:cs="Times New Roman"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 w:rsidR="00AC6ECC">
        <w:rPr>
          <w:rFonts w:ascii="Times New Roman" w:hAnsi="Times New Roman" w:cs="Times New Roman"/>
          <w:b/>
          <w:sz w:val="24"/>
          <w:szCs w:val="24"/>
        </w:rPr>
        <w:t xml:space="preserve">.2. AFECTIUNI HEMATOLOGICE </w:t>
      </w:r>
      <w:r w:rsidRPr="00633967">
        <w:rPr>
          <w:rFonts w:ascii="Times New Roman" w:hAnsi="Times New Roman" w:cs="Times New Roman"/>
          <w:b/>
          <w:sz w:val="24"/>
          <w:szCs w:val="24"/>
        </w:rPr>
        <w:t>AUTOIMUNE ÎN TRATAMENT CU IMUNOSUPRESOARE</w:t>
      </w:r>
    </w:p>
    <w:p w14:paraId="672E5ECB" w14:textId="13298708" w:rsidR="008F3A60" w:rsidRPr="00E655F4" w:rsidRDefault="00AC6ECC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agenți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imunosupresor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Rituximab,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ciclofosfamida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micofenolat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mofetil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steroizi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prednisone 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20mg pe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) </w:t>
      </w:r>
      <w:r w:rsidRPr="00AC6ECC">
        <w:rPr>
          <w:rFonts w:ascii="Times New Roman" w:hAnsi="Times New Roman" w:cs="Times New Roman"/>
          <w:sz w:val="24"/>
          <w:szCs w:val="24"/>
        </w:rPr>
        <w:t xml:space="preserve">sunt considerate ca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clinic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extrem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încurajate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vaccinul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C6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CC">
        <w:rPr>
          <w:rFonts w:ascii="Times New Roman" w:hAnsi="Times New Roman" w:cs="Times New Roman"/>
          <w:sz w:val="24"/>
          <w:szCs w:val="24"/>
        </w:rPr>
        <w:t>grup</w:t>
      </w:r>
      <w:r w:rsidR="00C41FE8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C41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FE8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="00C41F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1FE8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="00C41FE8">
        <w:rPr>
          <w:rFonts w:ascii="Times New Roman" w:hAnsi="Times New Roman" w:cs="Times New Roman"/>
          <w:sz w:val="24"/>
          <w:szCs w:val="24"/>
        </w:rPr>
        <w:t>.</w:t>
      </w:r>
    </w:p>
    <w:p w14:paraId="407A6961" w14:textId="0BE50C94" w:rsidR="00585D71" w:rsidRPr="00E655F4" w:rsidRDefault="00585D71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F4">
        <w:rPr>
          <w:rFonts w:ascii="Times New Roman" w:hAnsi="Times New Roman" w:cs="Times New Roman"/>
          <w:sz w:val="24"/>
          <w:szCs w:val="24"/>
        </w:rPr>
        <w:t xml:space="preserve"> </w:t>
      </w:r>
      <w:r w:rsidR="00AC6ECC" w:rsidRPr="00633967">
        <w:rPr>
          <w:rFonts w:ascii="Times New Roman" w:hAnsi="Times New Roman" w:cs="Times New Roman"/>
          <w:b/>
          <w:sz w:val="24"/>
          <w:szCs w:val="24"/>
        </w:rPr>
        <w:t>B</w:t>
      </w:r>
      <w:r w:rsidR="00AC6ECC">
        <w:rPr>
          <w:rFonts w:ascii="Times New Roman" w:hAnsi="Times New Roman" w:cs="Times New Roman"/>
          <w:b/>
          <w:sz w:val="24"/>
          <w:szCs w:val="24"/>
        </w:rPr>
        <w:t xml:space="preserve">.3.    </w:t>
      </w:r>
      <w:r w:rsidRPr="00E655F4">
        <w:rPr>
          <w:rFonts w:ascii="Times New Roman" w:hAnsi="Times New Roman" w:cs="Times New Roman"/>
          <w:b/>
          <w:sz w:val="24"/>
          <w:szCs w:val="24"/>
        </w:rPr>
        <w:t xml:space="preserve">HEMOGLOBINOPATII ȘI ANEMII </w:t>
      </w:r>
      <w:r w:rsidR="00AC6ECC">
        <w:rPr>
          <w:rFonts w:ascii="Times New Roman" w:hAnsi="Times New Roman" w:cs="Times New Roman"/>
          <w:b/>
          <w:sz w:val="24"/>
          <w:szCs w:val="24"/>
        </w:rPr>
        <w:t xml:space="preserve">CONGENITALE </w:t>
      </w:r>
      <w:r w:rsidRPr="00E655F4">
        <w:rPr>
          <w:rFonts w:ascii="Times New Roman" w:hAnsi="Times New Roman" w:cs="Times New Roman"/>
          <w:b/>
          <w:sz w:val="24"/>
          <w:szCs w:val="24"/>
        </w:rPr>
        <w:t xml:space="preserve">RARE </w:t>
      </w:r>
    </w:p>
    <w:p w14:paraId="4680FE78" w14:textId="77777777" w:rsidR="00E520AE" w:rsidRDefault="00585D71" w:rsidP="00E2287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0AE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adulții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anemie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falciforma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mic de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complicații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severe ale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anemiei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falciforme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talasemie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anemii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rare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moștenite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încărcare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fier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severă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C7F75" w14:textId="6F91FADC" w:rsidR="00585D71" w:rsidRDefault="00585D71" w:rsidP="00E2287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vaccin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antigripal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datorita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disfuncții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splenice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aspleniei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incluși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talasemia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rare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moștenite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splenectomizati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1AC9A" w14:textId="615C8871" w:rsidR="00E520AE" w:rsidRDefault="00E520AE" w:rsidP="00E520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.4.    TRANSPLANTUL DE CELULE STEM HEMATOPOIETICE:</w:t>
      </w:r>
    </w:p>
    <w:p w14:paraId="5F8D3C3B" w14:textId="78F7820F" w:rsidR="00E520AE" w:rsidRPr="00E520AE" w:rsidRDefault="00E520AE" w:rsidP="00E52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20AE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dovezile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0AE">
        <w:rPr>
          <w:rFonts w:ascii="Times New Roman" w:hAnsi="Times New Roman" w:cs="Times New Roman"/>
          <w:sz w:val="24"/>
          <w:szCs w:val="24"/>
        </w:rPr>
        <w:t>experților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</w:t>
      </w:r>
      <w:proofErr w:type="spellEnd"/>
      <w:r w:rsidRPr="00E520AE">
        <w:rPr>
          <w:rFonts w:ascii="Times New Roman" w:hAnsi="Times New Roman" w:cs="Times New Roman"/>
          <w:sz w:val="24"/>
          <w:szCs w:val="24"/>
        </w:rPr>
        <w:t>:</w:t>
      </w:r>
    </w:p>
    <w:p w14:paraId="18D5C0B5" w14:textId="6E077538" w:rsidR="00E520AE" w:rsidRDefault="00E41A3C" w:rsidP="00E520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transplant de cellule 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hematopoietice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="00E520AE" w:rsidRPr="00E520AE">
        <w:rPr>
          <w:rFonts w:ascii="Times New Roman" w:hAnsi="Times New Roman" w:cs="Times New Roman"/>
          <w:sz w:val="24"/>
          <w:szCs w:val="24"/>
        </w:rPr>
        <w:t>vaccina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E520AE" w:rsidRPr="00E520AE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E520AE" w:rsidRPr="00E520A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E520AE" w:rsidRPr="00E520AE">
        <w:rPr>
          <w:rFonts w:ascii="Times New Roman" w:hAnsi="Times New Roman" w:cs="Times New Roman"/>
          <w:sz w:val="24"/>
          <w:szCs w:val="24"/>
        </w:rPr>
        <w:t xml:space="preserve"> 3-6 </w:t>
      </w:r>
      <w:proofErr w:type="spellStart"/>
      <w:r w:rsidR="00E520AE" w:rsidRPr="00E520A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E520AE" w:rsidRPr="00E5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0AE" w:rsidRPr="00E520A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E520AE" w:rsidRPr="00E520AE">
        <w:rPr>
          <w:rFonts w:ascii="Times New Roman" w:hAnsi="Times New Roman" w:cs="Times New Roman"/>
          <w:sz w:val="24"/>
          <w:szCs w:val="24"/>
        </w:rPr>
        <w:t xml:space="preserve"> HSCT </w:t>
      </w:r>
      <w:r w:rsidR="00395BC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inregistrate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atata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cat nu sunt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vaccinuri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viu-atenuate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contin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vectori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virali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rata mare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la 3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posttransplant; rata mica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la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posttransplant)</w:t>
      </w:r>
    </w:p>
    <w:p w14:paraId="6B49CD99" w14:textId="3CE648DE" w:rsidR="00E41A3C" w:rsidRDefault="00E41A3C" w:rsidP="00E520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vaccinuri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postranplant</w:t>
      </w:r>
      <w:proofErr w:type="spellEnd"/>
    </w:p>
    <w:p w14:paraId="43FA8ABA" w14:textId="2028B041" w:rsidR="00E520AE" w:rsidRDefault="00E41A3C" w:rsidP="00E520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Pr="00E520AE">
        <w:rPr>
          <w:rFonts w:ascii="Times New Roman" w:hAnsi="Times New Roman" w:cs="Times New Roman"/>
          <w:sz w:val="24"/>
          <w:szCs w:val="24"/>
        </w:rPr>
        <w:t xml:space="preserve">GvHD </w:t>
      </w:r>
      <w:r>
        <w:rPr>
          <w:rFonts w:ascii="Times New Roman" w:hAnsi="Times New Roman" w:cs="Times New Roman"/>
          <w:sz w:val="24"/>
          <w:szCs w:val="24"/>
        </w:rPr>
        <w:t xml:space="preserve">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vaccinati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GVHD acuta, </w:t>
      </w:r>
      <w:proofErr w:type="spellStart"/>
      <w:r>
        <w:rPr>
          <w:rFonts w:ascii="Times New Roman" w:hAnsi="Times New Roman" w:cs="Times New Roman"/>
          <w:sz w:val="24"/>
          <w:szCs w:val="24"/>
        </w:rPr>
        <w:t>necontrolata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grad III-IV.</w:t>
      </w:r>
    </w:p>
    <w:p w14:paraId="53FE7B63" w14:textId="7FC00BCB" w:rsidR="00E41A3C" w:rsidRDefault="00E41A3C" w:rsidP="00E520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medical,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ingrijesc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transplant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stem,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</w:rPr>
        <w:t>vaccinati</w:t>
      </w:r>
      <w:proofErr w:type="spellEnd"/>
    </w:p>
    <w:p w14:paraId="0591596B" w14:textId="22D9A6AD" w:rsidR="00E41A3C" w:rsidRDefault="00E41A3C" w:rsidP="00E520A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inca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necunoscuta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scurta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imunosupresie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, fata de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sanatoase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cum a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demonstrate la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D7A">
        <w:rPr>
          <w:rFonts w:ascii="Times New Roman" w:hAnsi="Times New Roman" w:cs="Times New Roman"/>
          <w:sz w:val="24"/>
          <w:szCs w:val="24"/>
        </w:rPr>
        <w:t>vaccinuri</w:t>
      </w:r>
      <w:proofErr w:type="spellEnd"/>
      <w:r w:rsidR="00DF1D7A">
        <w:rPr>
          <w:rFonts w:ascii="Times New Roman" w:hAnsi="Times New Roman" w:cs="Times New Roman"/>
          <w:sz w:val="24"/>
          <w:szCs w:val="24"/>
        </w:rPr>
        <w:t>.</w:t>
      </w:r>
    </w:p>
    <w:p w14:paraId="0EAA35E0" w14:textId="77777777" w:rsidR="00055642" w:rsidRDefault="00661DE3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.5.    </w:t>
      </w:r>
      <w:r w:rsidR="00585D71" w:rsidRPr="00E655F4">
        <w:rPr>
          <w:rFonts w:ascii="Times New Roman" w:hAnsi="Times New Roman" w:cs="Times New Roman"/>
          <w:b/>
          <w:sz w:val="24"/>
          <w:szCs w:val="24"/>
        </w:rPr>
        <w:t>LIMFO</w:t>
      </w:r>
      <w:r w:rsidR="00055642">
        <w:rPr>
          <w:rFonts w:ascii="Times New Roman" w:hAnsi="Times New Roman" w:cs="Times New Roman"/>
          <w:b/>
          <w:sz w:val="24"/>
          <w:szCs w:val="24"/>
        </w:rPr>
        <w:t>AMELE MALIGNE</w:t>
      </w:r>
    </w:p>
    <w:p w14:paraId="0309FBF7" w14:textId="0EC12B18" w:rsidR="00585D71" w:rsidRPr="00E655F4" w:rsidRDefault="00A15CF2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limfom</w:t>
      </w:r>
      <w:proofErr w:type="spellEnd"/>
      <w:r w:rsidR="00055642">
        <w:rPr>
          <w:rFonts w:ascii="Times New Roman" w:hAnsi="Times New Roman" w:cs="Times New Roman"/>
          <w:sz w:val="24"/>
          <w:szCs w:val="24"/>
        </w:rPr>
        <w:t xml:space="preserve"> malign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grade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limfom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terapiil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administra</w:t>
      </w:r>
      <w:r>
        <w:rPr>
          <w:rFonts w:ascii="Times New Roman" w:hAnsi="Times New Roman" w:cs="Times New Roman"/>
          <w:sz w:val="24"/>
          <w:szCs w:val="24"/>
        </w:rPr>
        <w:t>t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implicații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terapeutica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>. Nu</w:t>
      </w:r>
      <w:r w:rsidR="006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vaccinării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am </w:t>
      </w:r>
      <w:proofErr w:type="spellStart"/>
      <w:r>
        <w:rPr>
          <w:rFonts w:ascii="Times New Roman" w:hAnsi="Times New Roman" w:cs="Times New Roman"/>
          <w:sz w:val="24"/>
          <w:szCs w:val="24"/>
        </w:rPr>
        <w:t>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există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vreun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motiv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proofErr w:type="gram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credem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vaccinurile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obtinute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tehnica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ARN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mesager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inactive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nesigure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aceast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 w:rsidRPr="006210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presupunem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depletie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disfuncție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tind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grabă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umoral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depletie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disfuncție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tind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celular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umoral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afectat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datorita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celulelor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T helper. </w:t>
      </w:r>
    </w:p>
    <w:p w14:paraId="3113DA85" w14:textId="523AF52F" w:rsidR="00585D71" w:rsidRPr="00E655F4" w:rsidRDefault="00A15CF2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15CF2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considerentelor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absența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îndrumării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recomandăm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ca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toți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pacienții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limfom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primeasca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vaccin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COVID  (</w:t>
      </w:r>
      <w:proofErr w:type="gram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excepția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cazului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contraindicat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15CF2">
        <w:rPr>
          <w:rFonts w:ascii="Times New Roman" w:hAnsi="Times New Roman" w:cs="Times New Roman"/>
          <w:b/>
          <w:bCs/>
          <w:sz w:val="24"/>
          <w:szCs w:val="24"/>
        </w:rPr>
        <w:t xml:space="preserve"> mod explicit),</w:t>
      </w:r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sz w:val="24"/>
          <w:szCs w:val="24"/>
        </w:rPr>
        <w:t>acceptând</w:t>
      </w:r>
      <w:proofErr w:type="spellEnd"/>
      <w:r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preexistente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răspunsurile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imunității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umorale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celulare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acești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importanta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contactilor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apropiați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mențin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distanțare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EC8D8" w14:textId="77777777" w:rsidR="000869F6" w:rsidRPr="000869F6" w:rsidRDefault="001A1C3A" w:rsidP="00E2287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5CF2">
        <w:rPr>
          <w:rFonts w:ascii="Times New Roman" w:hAnsi="Times New Roman" w:cs="Times New Roman"/>
          <w:b/>
          <w:sz w:val="24"/>
          <w:szCs w:val="24"/>
        </w:rPr>
        <w:t>Implicațiile</w:t>
      </w:r>
      <w:proofErr w:type="spellEnd"/>
      <w:r w:rsidRPr="00A15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A15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Pr="00A15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A15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  <w:r w:rsidRPr="00A15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CF2">
        <w:rPr>
          <w:rFonts w:ascii="Times New Roman" w:hAnsi="Times New Roman" w:cs="Times New Roman"/>
          <w:b/>
          <w:sz w:val="24"/>
          <w:szCs w:val="24"/>
        </w:rPr>
        <w:t>tratamentul</w:t>
      </w:r>
      <w:proofErr w:type="spellEnd"/>
      <w:r w:rsidRPr="00A15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04B" w:rsidRPr="00A15CF2">
        <w:rPr>
          <w:rFonts w:ascii="Times New Roman" w:hAnsi="Times New Roman" w:cs="Times New Roman"/>
          <w:b/>
          <w:sz w:val="24"/>
          <w:szCs w:val="24"/>
        </w:rPr>
        <w:t>LIMFOMULUI</w:t>
      </w:r>
      <w:r w:rsidR="00A15C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15CF2">
        <w:rPr>
          <w:rFonts w:ascii="Times New Roman" w:hAnsi="Times New Roman" w:cs="Times New Roman"/>
          <w:sz w:val="24"/>
          <w:szCs w:val="24"/>
        </w:rPr>
        <w:t>m</w:t>
      </w:r>
      <w:r w:rsidR="00585D71" w:rsidRPr="00A15CF2">
        <w:rPr>
          <w:rFonts w:ascii="Times New Roman" w:hAnsi="Times New Roman" w:cs="Times New Roman"/>
          <w:sz w:val="24"/>
          <w:szCs w:val="24"/>
        </w:rPr>
        <w:t>edicamente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Bendamustina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Rituximab</w:t>
      </w:r>
      <w:r w:rsidR="000869F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limfoamelor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depletie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limfocite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T</w:t>
      </w:r>
      <w:r w:rsidR="000869F6">
        <w:rPr>
          <w:rFonts w:ascii="Times New Roman" w:hAnsi="Times New Roman" w:cs="Times New Roman"/>
          <w:sz w:val="24"/>
          <w:szCs w:val="24"/>
        </w:rPr>
        <w:t>,</w:t>
      </w:r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limfocite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B</w:t>
      </w:r>
      <w:r w:rsidR="000869F6">
        <w:rPr>
          <w:rFonts w:ascii="Times New Roman" w:hAnsi="Times New Roman" w:cs="Times New Roman"/>
          <w:sz w:val="24"/>
          <w:szCs w:val="24"/>
        </w:rPr>
        <w:t>,</w:t>
      </w:r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îmbunătățesc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pe termen lung.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Luand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aspect, </w:t>
      </w:r>
      <w:r w:rsidR="000869F6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8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="0008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celular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ce</w:t>
      </w:r>
      <w:r w:rsidR="00585D71" w:rsidRPr="00A15CF2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umoral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="0008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08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08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9F6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discutat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tratamente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maximizarii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supraviețuirii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progresie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minimizarii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toxicității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="00585D71" w:rsidRPr="00A15CF2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585D71" w:rsidRPr="00A15CF2">
        <w:rPr>
          <w:rFonts w:ascii="Times New Roman" w:hAnsi="Times New Roman" w:cs="Times New Roman"/>
          <w:sz w:val="24"/>
          <w:szCs w:val="24"/>
        </w:rPr>
        <w:t>.</w:t>
      </w:r>
    </w:p>
    <w:p w14:paraId="0069366A" w14:textId="46B4FBFF" w:rsidR="003F1ECA" w:rsidRPr="003F1ECA" w:rsidRDefault="00585D71" w:rsidP="00EB11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1ECA">
        <w:rPr>
          <w:rFonts w:ascii="Times New Roman" w:hAnsi="Times New Roman" w:cs="Times New Roman"/>
          <w:b/>
          <w:bCs/>
          <w:sz w:val="24"/>
          <w:szCs w:val="24"/>
        </w:rPr>
        <w:t>Momentul</w:t>
      </w:r>
      <w:proofErr w:type="spellEnd"/>
      <w:r w:rsidRPr="003F1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bCs/>
          <w:sz w:val="24"/>
          <w:szCs w:val="24"/>
        </w:rPr>
        <w:t>vaccinării</w:t>
      </w:r>
      <w:proofErr w:type="spellEnd"/>
      <w:r w:rsidR="000869F6" w:rsidRPr="003F1ECA">
        <w:rPr>
          <w:rFonts w:ascii="Times New Roman" w:hAnsi="Times New Roman" w:cs="Times New Roman"/>
          <w:b/>
          <w:bCs/>
          <w:sz w:val="24"/>
          <w:szCs w:val="24"/>
        </w:rPr>
        <w:t xml:space="preserve"> Covid-19</w:t>
      </w:r>
      <w:r w:rsidR="000869F6" w:rsidRPr="003F1E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69F6" w:rsidRPr="003F1ECA">
        <w:rPr>
          <w:rFonts w:ascii="Times New Roman" w:hAnsi="Times New Roman" w:cs="Times New Roman"/>
          <w:sz w:val="24"/>
          <w:szCs w:val="24"/>
        </w:rPr>
        <w:t>a</w:t>
      </w:r>
      <w:r w:rsidRPr="003F1ECA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1ECA">
        <w:rPr>
          <w:rFonts w:ascii="Times New Roman" w:hAnsi="Times New Roman" w:cs="Times New Roman"/>
          <w:sz w:val="24"/>
          <w:szCs w:val="24"/>
        </w:rPr>
        <w:t>posibi</w:t>
      </w:r>
      <w:r w:rsidR="003F1EC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F1ECA">
        <w:rPr>
          <w:rFonts w:ascii="Times New Roman" w:hAnsi="Times New Roman" w:cs="Times New Roman"/>
          <w:sz w:val="24"/>
          <w:szCs w:val="24"/>
        </w:rPr>
        <w:t xml:space="preserve">, </w:t>
      </w:r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proofErr w:type="gram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D02547" w:rsidRPr="003F1ECA">
        <w:rPr>
          <w:rFonts w:ascii="Times New Roman" w:hAnsi="Times New Roman" w:cs="Times New Roman"/>
          <w:sz w:val="24"/>
          <w:szCs w:val="24"/>
        </w:rPr>
        <w:t>programata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inițierii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imunosupresiv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imunosupresiv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avantajele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dezavantajele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întreruperii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vaccinării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recuperării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imunității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 w:rsidRPr="003F1ECA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="003F1ECA" w:rsidRPr="003F1ECA">
        <w:rPr>
          <w:rFonts w:ascii="Times New Roman" w:hAnsi="Times New Roman" w:cs="Times New Roman"/>
          <w:sz w:val="24"/>
          <w:szCs w:val="24"/>
        </w:rPr>
        <w:t xml:space="preserve"> currant. </w:t>
      </w:r>
    </w:p>
    <w:p w14:paraId="11411231" w14:textId="702F130E" w:rsidR="00EB2756" w:rsidRPr="003F1ECA" w:rsidRDefault="00EB2756" w:rsidP="003F1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ECA">
        <w:rPr>
          <w:rFonts w:ascii="Times New Roman" w:hAnsi="Times New Roman" w:cs="Times New Roman"/>
          <w:b/>
          <w:sz w:val="24"/>
          <w:szCs w:val="24"/>
        </w:rPr>
        <w:t xml:space="preserve">B.6.   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L</w:t>
      </w:r>
      <w:r w:rsidR="003F1ECA">
        <w:rPr>
          <w:rFonts w:ascii="Times New Roman" w:hAnsi="Times New Roman" w:cs="Times New Roman"/>
          <w:b/>
          <w:sz w:val="24"/>
          <w:szCs w:val="24"/>
        </w:rPr>
        <w:t>eucemia</w:t>
      </w:r>
      <w:proofErr w:type="spellEnd"/>
      <w:r w:rsid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93D" w:rsidRPr="003F1ECA">
        <w:rPr>
          <w:rFonts w:ascii="Times New Roman" w:hAnsi="Times New Roman" w:cs="Times New Roman"/>
          <w:b/>
          <w:sz w:val="24"/>
          <w:szCs w:val="24"/>
        </w:rPr>
        <w:t>L</w:t>
      </w:r>
      <w:r w:rsidR="003F1ECA">
        <w:rPr>
          <w:rFonts w:ascii="Times New Roman" w:hAnsi="Times New Roman" w:cs="Times New Roman"/>
          <w:b/>
          <w:sz w:val="24"/>
          <w:szCs w:val="24"/>
        </w:rPr>
        <w:t>imfatica</w:t>
      </w:r>
      <w:proofErr w:type="spellEnd"/>
      <w:r w:rsid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93D" w:rsidRPr="003F1ECA">
        <w:rPr>
          <w:rFonts w:ascii="Times New Roman" w:hAnsi="Times New Roman" w:cs="Times New Roman"/>
          <w:b/>
          <w:sz w:val="24"/>
          <w:szCs w:val="24"/>
        </w:rPr>
        <w:t>C</w:t>
      </w:r>
      <w:r w:rsidR="003F1ECA">
        <w:rPr>
          <w:rFonts w:ascii="Times New Roman" w:hAnsi="Times New Roman" w:cs="Times New Roman"/>
          <w:b/>
          <w:sz w:val="24"/>
          <w:szCs w:val="24"/>
        </w:rPr>
        <w:t>ronica</w:t>
      </w:r>
      <w:proofErr w:type="spellEnd"/>
    </w:p>
    <w:p w14:paraId="31314707" w14:textId="552536E2" w:rsidR="00585D71" w:rsidRPr="00E80396" w:rsidRDefault="00037536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Leucemie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limfatica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) au un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grad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Desi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imunosupresati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, </w:t>
      </w:r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nu sunt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dubii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7196">
        <w:rPr>
          <w:rFonts w:ascii="Times New Roman" w:hAnsi="Times New Roman" w:cs="Times New Roman"/>
          <w:b/>
          <w:bCs/>
          <w:sz w:val="24"/>
          <w:szCs w:val="24"/>
        </w:rPr>
        <w:t>ceea</w:t>
      </w:r>
      <w:proofErr w:type="spellEnd"/>
      <w:r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7196"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7196">
        <w:rPr>
          <w:rFonts w:ascii="Times New Roman" w:hAnsi="Times New Roman" w:cs="Times New Roman"/>
          <w:b/>
          <w:bCs/>
          <w:sz w:val="24"/>
          <w:szCs w:val="24"/>
        </w:rPr>
        <w:t>priveste</w:t>
      </w:r>
      <w:proofErr w:type="spellEnd"/>
      <w:r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siguranța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administrarii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vaccinului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Eficacitatea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vaccinării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pacienților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cu LLC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tinde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fie </w:t>
      </w:r>
      <w:proofErr w:type="spellStart"/>
      <w:r w:rsidRPr="00497196">
        <w:rPr>
          <w:rFonts w:ascii="Times New Roman" w:hAnsi="Times New Roman" w:cs="Times New Roman"/>
          <w:b/>
          <w:bCs/>
          <w:sz w:val="24"/>
          <w:szCs w:val="24"/>
        </w:rPr>
        <w:t>insa</w:t>
      </w:r>
      <w:proofErr w:type="spellEnd"/>
      <w:r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semnificativ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>compromisă</w:t>
      </w:r>
      <w:proofErr w:type="spellEnd"/>
      <w:r w:rsidR="00585D71" w:rsidRPr="00497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Acesti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sfătuiți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vaccineze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vaccinuri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atenuate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r>
        <w:rPr>
          <w:rFonts w:ascii="Times New Roman" w:hAnsi="Times New Roman" w:cs="Times New Roman"/>
          <w:sz w:val="24"/>
          <w:szCs w:val="24"/>
        </w:rPr>
        <w:t xml:space="preserve">ARN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mesager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>.</w:t>
      </w:r>
    </w:p>
    <w:p w14:paraId="4A7EAAB7" w14:textId="07ADCD1F" w:rsidR="00585D71" w:rsidRPr="00E655F4" w:rsidRDefault="00E80396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.7.    </w:t>
      </w:r>
      <w:r w:rsidR="00585D71" w:rsidRPr="00E655F4">
        <w:rPr>
          <w:rFonts w:ascii="Times New Roman" w:hAnsi="Times New Roman" w:cs="Times New Roman"/>
          <w:b/>
          <w:sz w:val="24"/>
          <w:szCs w:val="24"/>
        </w:rPr>
        <w:t>MIELOMUL MULTIPLU</w:t>
      </w:r>
    </w:p>
    <w:p w14:paraId="06B62FE0" w14:textId="35A789BA" w:rsidR="003A6EF8" w:rsidRDefault="00F3593E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mielom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au o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vulnerabilitate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datorita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vârstei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70 de ani), a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imunosupresie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doze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steroizi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agenți</w:t>
      </w:r>
      <w:proofErr w:type="spellEnd"/>
      <w:r w:rsidR="00497196">
        <w:rPr>
          <w:rFonts w:ascii="Times New Roman" w:hAnsi="Times New Roman" w:cs="Times New Roman"/>
          <w:sz w:val="24"/>
          <w:szCs w:val="24"/>
        </w:rPr>
        <w:t xml:space="preserve"> 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care pot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exacerba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pan</w:t>
      </w:r>
      <w:r w:rsidR="003A6E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A1C3A" w:rsidRPr="00E655F4">
        <w:rPr>
          <w:rFonts w:ascii="Times New Roman" w:hAnsi="Times New Roman" w:cs="Times New Roman"/>
          <w:sz w:val="24"/>
          <w:szCs w:val="24"/>
        </w:rPr>
        <w:t>hi</w:t>
      </w:r>
      <w:r w:rsidR="00585D71" w:rsidRPr="00E655F4">
        <w:rPr>
          <w:rFonts w:ascii="Times New Roman" w:hAnsi="Times New Roman" w:cs="Times New Roman"/>
          <w:sz w:val="24"/>
          <w:szCs w:val="24"/>
        </w:rPr>
        <w:t>pogamaglobulinemia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(ex. Daratumumab)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creste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vulnerabilitatea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  <w:r w:rsidR="003A6EF8">
        <w:rPr>
          <w:rFonts w:ascii="Times New Roman" w:hAnsi="Times New Roman" w:cs="Times New Roman"/>
          <w:sz w:val="24"/>
          <w:szCs w:val="24"/>
        </w:rPr>
        <w:t>I</w:t>
      </w:r>
      <w:r w:rsidR="00585D71" w:rsidRPr="00E655F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Mielomul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recomanda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vaccinurile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atenuate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3A6EF8">
        <w:rPr>
          <w:rFonts w:ascii="Times New Roman" w:hAnsi="Times New Roman" w:cs="Times New Roman"/>
          <w:sz w:val="24"/>
          <w:szCs w:val="24"/>
        </w:rPr>
        <w:t>ARNmesager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sunt contraindicate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 de virus </w:t>
      </w:r>
      <w:proofErr w:type="spellStart"/>
      <w:r w:rsidR="00585D71" w:rsidRPr="00E655F4">
        <w:rPr>
          <w:rFonts w:ascii="Times New Roman" w:hAnsi="Times New Roman" w:cs="Times New Roman"/>
          <w:sz w:val="24"/>
          <w:szCs w:val="24"/>
        </w:rPr>
        <w:t>viu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65C8D" w14:textId="1A9AF2EB" w:rsidR="001A1C3A" w:rsidRPr="00E655F4" w:rsidRDefault="003A6EF8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6EF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eficacitate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vaccinului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Pfizer/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COVID-19 la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mielom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amiloidoză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MGUS.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vulnerabilitatea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acestor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pacienți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, se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recomandă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vaccinarea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acestora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(cu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excepția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cazului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există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contraindicații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mod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corespunzător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grupurile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prioritare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deoarece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beneficiile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depăși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mod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semnificativ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orice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b/>
          <w:bCs/>
          <w:sz w:val="24"/>
          <w:szCs w:val="24"/>
        </w:rPr>
        <w:t>riscuri</w:t>
      </w:r>
      <w:proofErr w:type="spellEnd"/>
      <w:r w:rsidRPr="003A6E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transplantul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celule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F8">
        <w:rPr>
          <w:rFonts w:ascii="Times New Roman" w:hAnsi="Times New Roman" w:cs="Times New Roman"/>
          <w:sz w:val="24"/>
          <w:szCs w:val="24"/>
        </w:rPr>
        <w:t>urmeze</w:t>
      </w:r>
      <w:proofErr w:type="spellEnd"/>
      <w:r w:rsidRPr="003A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6EF8">
        <w:rPr>
          <w:rFonts w:ascii="Times New Roman" w:hAnsi="Times New Roman" w:cs="Times New Roman"/>
          <w:sz w:val="24"/>
          <w:szCs w:val="24"/>
        </w:rPr>
        <w:t>îndrumările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ECA">
        <w:rPr>
          <w:rFonts w:ascii="Times New Roman" w:hAnsi="Times New Roman" w:cs="Times New Roman"/>
          <w:sz w:val="24"/>
          <w:szCs w:val="24"/>
        </w:rPr>
        <w:t xml:space="preserve"> specific</w:t>
      </w:r>
      <w:proofErr w:type="gramEnd"/>
      <w:r w:rsid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3F1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ECA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796077" w14:textId="7939F950" w:rsidR="00585D71" w:rsidRPr="00E655F4" w:rsidRDefault="00621039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.8.    </w:t>
      </w:r>
      <w:r w:rsidR="001A1C3A" w:rsidRPr="00E655F4">
        <w:rPr>
          <w:rFonts w:ascii="Times New Roman" w:hAnsi="Times New Roman" w:cs="Times New Roman"/>
          <w:b/>
          <w:sz w:val="24"/>
          <w:szCs w:val="24"/>
        </w:rPr>
        <w:t>SINDROMUL MIELODISPLAZIC</w:t>
      </w:r>
    </w:p>
    <w:p w14:paraId="2A76ADDE" w14:textId="5D878C12" w:rsidR="00585D71" w:rsidRPr="00E655F4" w:rsidRDefault="008F3A60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Majoritatea</w:t>
      </w:r>
      <w:proofErr w:type="spellEnd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pacienților</w:t>
      </w:r>
      <w:proofErr w:type="spellEnd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cu SMD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trebui</w:t>
      </w:r>
      <w:proofErr w:type="spellEnd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primească</w:t>
      </w:r>
      <w:proofErr w:type="spellEnd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5D71" w:rsidRPr="008F3A60">
        <w:rPr>
          <w:rFonts w:ascii="Times New Roman" w:hAnsi="Times New Roman" w:cs="Times New Roman"/>
          <w:b/>
          <w:bCs/>
          <w:sz w:val="24"/>
          <w:szCs w:val="24"/>
        </w:rPr>
        <w:t>vaccinul</w:t>
      </w:r>
      <w:proofErr w:type="spellEnd"/>
      <w:r w:rsidR="00585D71" w:rsidRPr="00E655F4">
        <w:rPr>
          <w:rFonts w:ascii="Times New Roman" w:hAnsi="Times New Roman" w:cs="Times New Roman"/>
          <w:sz w:val="24"/>
          <w:szCs w:val="24"/>
        </w:rPr>
        <w:t>:</w:t>
      </w:r>
    </w:p>
    <w:p w14:paraId="63B1406C" w14:textId="77777777" w:rsidR="008F3A60" w:rsidRDefault="00585D71" w:rsidP="008F3A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subtipurile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SMD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="008F3A60">
        <w:rPr>
          <w:rFonts w:ascii="Times New Roman" w:hAnsi="Times New Roman" w:cs="Times New Roman"/>
          <w:sz w:val="24"/>
          <w:szCs w:val="24"/>
        </w:rPr>
        <w:t>;</w:t>
      </w:r>
    </w:p>
    <w:p w14:paraId="4DD96B47" w14:textId="77777777" w:rsidR="008F3A60" w:rsidRDefault="00585D71" w:rsidP="008F3A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grupele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IPSS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IPSS-R</w:t>
      </w:r>
      <w:r w:rsidR="008F3A60">
        <w:rPr>
          <w:rFonts w:ascii="Times New Roman" w:hAnsi="Times New Roman" w:cs="Times New Roman"/>
          <w:sz w:val="24"/>
          <w:szCs w:val="24"/>
        </w:rPr>
        <w:t>;</w:t>
      </w:r>
    </w:p>
    <w:p w14:paraId="0F05C43D" w14:textId="2C0EBA00" w:rsidR="008F3A60" w:rsidRDefault="00585D71" w:rsidP="008F3A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cu SMD in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“watch and wait”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r w:rsidR="00621039">
        <w:rPr>
          <w:rFonts w:ascii="Times New Roman" w:hAnsi="Times New Roman" w:cs="Times New Roman"/>
          <w:sz w:val="24"/>
          <w:szCs w:val="24"/>
        </w:rPr>
        <w:t>i</w:t>
      </w:r>
      <w:r w:rsidRPr="008F3A60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antecedente</w:t>
      </w:r>
      <w:proofErr w:type="spellEnd"/>
      <w:r w:rsidR="008F3A60">
        <w:rPr>
          <w:rFonts w:ascii="Times New Roman" w:hAnsi="Times New Roman" w:cs="Times New Roman"/>
          <w:sz w:val="24"/>
          <w:szCs w:val="24"/>
        </w:rPr>
        <w:t>;</w:t>
      </w:r>
    </w:p>
    <w:p w14:paraId="44C1BF75" w14:textId="3595C35F" w:rsidR="00585D71" w:rsidRPr="008F3A60" w:rsidRDefault="00585D71" w:rsidP="008F3A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cu SMD din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r w:rsidR="00621039">
        <w:rPr>
          <w:rFonts w:ascii="Times New Roman" w:hAnsi="Times New Roman" w:cs="Times New Roman"/>
          <w:sz w:val="24"/>
          <w:szCs w:val="24"/>
        </w:rPr>
        <w:t xml:space="preserve">clinic cu </w:t>
      </w:r>
      <w:proofErr w:type="spellStart"/>
      <w:r w:rsidR="0062103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6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039">
        <w:rPr>
          <w:rFonts w:ascii="Times New Roman" w:hAnsi="Times New Roman" w:cs="Times New Roman"/>
          <w:sz w:val="24"/>
          <w:szCs w:val="24"/>
        </w:rPr>
        <w:t>coordonatorului</w:t>
      </w:r>
      <w:proofErr w:type="spellEnd"/>
      <w:r w:rsidR="006210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1039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="00621039">
        <w:rPr>
          <w:rFonts w:ascii="Times New Roman" w:hAnsi="Times New Roman" w:cs="Times New Roman"/>
          <w:sz w:val="24"/>
          <w:szCs w:val="24"/>
        </w:rPr>
        <w:t>.</w:t>
      </w:r>
    </w:p>
    <w:p w14:paraId="526EF063" w14:textId="75ECBE3A" w:rsidR="008F3A60" w:rsidRPr="008F3A60" w:rsidRDefault="008F3A60" w:rsidP="008F3A60">
      <w:pPr>
        <w:jc w:val="both"/>
        <w:rPr>
          <w:rFonts w:ascii="Times New Roman" w:hAnsi="Times New Roman" w:cs="Times New Roman"/>
          <w:sz w:val="24"/>
          <w:szCs w:val="24"/>
        </w:rPr>
      </w:pPr>
      <w:r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8F3A60">
        <w:rPr>
          <w:rFonts w:ascii="Times New Roman" w:hAnsi="Times New Roman" w:cs="Times New Roman"/>
          <w:b/>
          <w:bCs/>
          <w:sz w:val="24"/>
          <w:szCs w:val="24"/>
        </w:rPr>
        <w:t>Precautii</w:t>
      </w:r>
      <w:proofErr w:type="spellEnd"/>
      <w:r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8F3A60">
        <w:rPr>
          <w:rFonts w:ascii="Times New Roman" w:hAnsi="Times New Roman" w:cs="Times New Roman"/>
          <w:b/>
          <w:bCs/>
          <w:sz w:val="24"/>
          <w:szCs w:val="24"/>
        </w:rPr>
        <w:t>pacientii</w:t>
      </w:r>
      <w:proofErr w:type="spellEnd"/>
      <w:r w:rsidRPr="008F3A60">
        <w:rPr>
          <w:rFonts w:ascii="Times New Roman" w:hAnsi="Times New Roman" w:cs="Times New Roman"/>
          <w:b/>
          <w:bCs/>
          <w:sz w:val="24"/>
          <w:szCs w:val="24"/>
        </w:rPr>
        <w:t xml:space="preserve"> cu SMD</w:t>
      </w:r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vaccinul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FCBB4D" w14:textId="430E4AA7" w:rsidR="008F3A60" w:rsidRDefault="008F3A60" w:rsidP="008F3A6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alergie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severă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cunoscută</w:t>
      </w:r>
      <w:proofErr w:type="spellEnd"/>
      <w:r w:rsidR="00621039">
        <w:rPr>
          <w:rFonts w:ascii="Times New Roman" w:hAnsi="Times New Roman" w:cs="Times New Roman"/>
          <w:sz w:val="24"/>
          <w:szCs w:val="24"/>
        </w:rPr>
        <w:t>;</w:t>
      </w:r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7A2C4" w14:textId="1652C429" w:rsidR="008F3A60" w:rsidRDefault="008F3A60" w:rsidP="008F3A6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poartă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3A60">
        <w:rPr>
          <w:rFonts w:ascii="Times New Roman" w:hAnsi="Times New Roman" w:cs="Times New Roman"/>
          <w:sz w:val="24"/>
          <w:szCs w:val="24"/>
        </w:rPr>
        <w:t>un</w:t>
      </w:r>
      <w:r w:rsidR="00621039">
        <w:rPr>
          <w:rFonts w:ascii="Times New Roman" w:hAnsi="Times New Roman" w:cs="Times New Roman"/>
          <w:sz w:val="24"/>
          <w:szCs w:val="24"/>
        </w:rPr>
        <w:t xml:space="preserve"> </w:t>
      </w:r>
      <w:r w:rsidRPr="008F3A60">
        <w:rPr>
          <w:rFonts w:ascii="Times New Roman" w:hAnsi="Times New Roman" w:cs="Times New Roman"/>
          <w:sz w:val="24"/>
          <w:szCs w:val="24"/>
        </w:rPr>
        <w:t>EPI</w:t>
      </w:r>
      <w:proofErr w:type="gramEnd"/>
      <w:r w:rsidRPr="008F3A60">
        <w:rPr>
          <w:rFonts w:ascii="Times New Roman" w:hAnsi="Times New Roman" w:cs="Times New Roman"/>
          <w:sz w:val="24"/>
          <w:szCs w:val="24"/>
        </w:rPr>
        <w:t>-PEN</w:t>
      </w:r>
      <w:r w:rsidR="00621039">
        <w:rPr>
          <w:rFonts w:ascii="Times New Roman" w:hAnsi="Times New Roman" w:cs="Times New Roman"/>
          <w:sz w:val="24"/>
          <w:szCs w:val="24"/>
        </w:rPr>
        <w:t>;</w:t>
      </w:r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53782" w14:textId="6DB075C9" w:rsidR="008F3A60" w:rsidRPr="003F1ECA" w:rsidRDefault="008F3A60" w:rsidP="008F3A6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F3A60">
        <w:rPr>
          <w:rFonts w:ascii="Times New Roman" w:hAnsi="Times New Roman" w:cs="Times New Roman"/>
          <w:sz w:val="24"/>
          <w:szCs w:val="24"/>
        </w:rPr>
        <w:t>acienții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trombocite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sângera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injectării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a reduce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recomandat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trombocite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fie de 30 x 109/l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recomanda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presiunii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injectarii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5minute.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regulat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transfuzii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trombocite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vaccinat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transfuzii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trombocite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mic de 30 x 109/l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regulat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transfuzii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trombocite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discute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hematologul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60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8F3A60">
        <w:rPr>
          <w:rFonts w:ascii="Times New Roman" w:hAnsi="Times New Roman" w:cs="Times New Roman"/>
          <w:sz w:val="24"/>
          <w:szCs w:val="24"/>
        </w:rPr>
        <w:t xml:space="preserve"> de a se vaccina. </w:t>
      </w:r>
    </w:p>
    <w:p w14:paraId="59F8F267" w14:textId="077556AF" w:rsidR="001A1C3A" w:rsidRPr="00621039" w:rsidRDefault="00621039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.9.    </w:t>
      </w:r>
      <w:r w:rsidR="001A1C3A" w:rsidRPr="00E655F4">
        <w:rPr>
          <w:rFonts w:ascii="Times New Roman" w:hAnsi="Times New Roman" w:cs="Times New Roman"/>
          <w:b/>
          <w:sz w:val="24"/>
          <w:szCs w:val="24"/>
          <w:lang w:val="ro-RO"/>
        </w:rPr>
        <w:t>ASPLENIE ȘI DISFUNCȚII ALE SPLINEI</w:t>
      </w:r>
    </w:p>
    <w:p w14:paraId="6D62C844" w14:textId="4159DC99" w:rsidR="00EE56CC" w:rsidRDefault="00621039" w:rsidP="00E228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6CC">
        <w:rPr>
          <w:rFonts w:ascii="Times New Roman" w:hAnsi="Times New Roman" w:cs="Times New Roman"/>
          <w:sz w:val="24"/>
          <w:szCs w:val="24"/>
          <w:lang w:val="ro-RO"/>
        </w:rPr>
        <w:t>Asplenia si disfunctiile splinei reprezinta una din categoriile prioritare de vaccinare, reprezentand o grupa de pacienti cu risc inalt.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278397EC" w14:textId="7FDD71C6" w:rsidR="0078462C" w:rsidRPr="00E655F4" w:rsidRDefault="001A1C3A" w:rsidP="00E228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55F4">
        <w:rPr>
          <w:rFonts w:ascii="Times New Roman" w:hAnsi="Times New Roman" w:cs="Times New Roman"/>
          <w:sz w:val="24"/>
          <w:szCs w:val="24"/>
          <w:lang w:val="ro-RO"/>
        </w:rPr>
        <w:t>In aceasta categorie intra patologiile care ar putea duce la disfuncție splenica precum: anemie falciforma, talasemie majora, sindrom celiac</w:t>
      </w:r>
      <w:r w:rsidR="00621039">
        <w:rPr>
          <w:rFonts w:ascii="Times New Roman" w:hAnsi="Times New Roman" w:cs="Times New Roman"/>
          <w:sz w:val="24"/>
          <w:szCs w:val="24"/>
          <w:lang w:val="ro-RO"/>
        </w:rPr>
        <w:t xml:space="preserve"> sau pacientii splenectomizati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2103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n aceste grupuri 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lastRenderedPageBreak/>
        <w:t>medicul specialist evalue</w:t>
      </w:r>
      <w:r w:rsidR="00EE56CC">
        <w:rPr>
          <w:rFonts w:ascii="Times New Roman" w:hAnsi="Times New Roman" w:cs="Times New Roman"/>
          <w:sz w:val="24"/>
          <w:szCs w:val="24"/>
          <w:lang w:val="ro-RO"/>
        </w:rPr>
        <w:t>aza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 riscul de apariție al exacerbarilor patologiilor asociate precum și riscul de a dezvolta </w:t>
      </w:r>
      <w:r w:rsidRPr="00EE56CC">
        <w:rPr>
          <w:rFonts w:ascii="Times New Roman" w:hAnsi="Times New Roman" w:cs="Times New Roman"/>
          <w:sz w:val="24"/>
          <w:szCs w:val="24"/>
          <w:lang w:val="ro-RO"/>
        </w:rPr>
        <w:t>o forma severa de covid 19.</w:t>
      </w:r>
      <w:r w:rsidRPr="00E655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6A0C579" w14:textId="3886A6D6" w:rsidR="009B504B" w:rsidRPr="00E655F4" w:rsidRDefault="00621039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.10.    </w:t>
      </w:r>
      <w:r w:rsidR="009B504B" w:rsidRPr="00E655F4">
        <w:rPr>
          <w:rFonts w:ascii="Times New Roman" w:hAnsi="Times New Roman" w:cs="Times New Roman"/>
          <w:b/>
          <w:sz w:val="24"/>
          <w:szCs w:val="24"/>
        </w:rPr>
        <w:t>NEOPLAZIILE MIELOPROLIFERATIVE</w:t>
      </w:r>
    </w:p>
    <w:p w14:paraId="10C4A261" w14:textId="75E9A024" w:rsidR="009B504B" w:rsidRPr="00621039" w:rsidRDefault="00621039" w:rsidP="00E2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504B" w:rsidRPr="00E655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9B504B" w:rsidRPr="00E655F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9B504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04B" w:rsidRPr="00E655F4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="009B504B" w:rsidRPr="00E655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504B" w:rsidRPr="00E655F4">
        <w:rPr>
          <w:rFonts w:ascii="Times New Roman" w:hAnsi="Times New Roman" w:cs="Times New Roman"/>
          <w:sz w:val="24"/>
          <w:szCs w:val="24"/>
        </w:rPr>
        <w:t>neoplazii</w:t>
      </w:r>
      <w:proofErr w:type="spellEnd"/>
      <w:r w:rsidR="009B504B" w:rsidRPr="00E65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04B" w:rsidRPr="00E655F4">
        <w:rPr>
          <w:rFonts w:ascii="Times New Roman" w:hAnsi="Times New Roman" w:cs="Times New Roman"/>
          <w:sz w:val="24"/>
          <w:szCs w:val="24"/>
        </w:rPr>
        <w:t>mieloproliferative</w:t>
      </w:r>
      <w:proofErr w:type="spellEnd"/>
      <w:r w:rsidR="009B504B" w:rsidRPr="00E655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B504B" w:rsidRPr="00E655F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9B504B" w:rsidRPr="00E655F4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="009B504B" w:rsidRPr="00E655F4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9B504B" w:rsidRPr="00E65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>administrarea</w:t>
      </w:r>
      <w:proofErr w:type="spellEnd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>vaccinului</w:t>
      </w:r>
      <w:proofErr w:type="spellEnd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COVID19 nu </w:t>
      </w:r>
      <w:proofErr w:type="spellStart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>reprezintă</w:t>
      </w:r>
      <w:proofErr w:type="spellEnd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>contraindicatie</w:t>
      </w:r>
      <w:proofErr w:type="spellEnd"/>
      <w:r w:rsidR="009B504B" w:rsidRPr="006210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tratam</w:t>
      </w:r>
      <w:r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 anticoagulant, de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warfarină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, rivaroxaban, apixaban etc., </w:t>
      </w:r>
      <w:proofErr w:type="spellStart"/>
      <w:r w:rsidRPr="0062103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21039">
        <w:rPr>
          <w:rFonts w:ascii="Times New Roman" w:hAnsi="Times New Roman" w:cs="Times New Roman"/>
          <w:sz w:val="24"/>
          <w:szCs w:val="24"/>
        </w:rPr>
        <w:t xml:space="preserve"> 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5BC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95BC5">
        <w:rPr>
          <w:rFonts w:ascii="Times New Roman" w:hAnsi="Times New Roman" w:cs="Times New Roman"/>
          <w:sz w:val="24"/>
          <w:szCs w:val="24"/>
        </w:rPr>
        <w:t xml:space="preserve"> sus.</w:t>
      </w:r>
    </w:p>
    <w:p w14:paraId="3387B56E" w14:textId="1106E643" w:rsidR="009B504B" w:rsidRPr="00E655F4" w:rsidRDefault="00D90EF4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96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.11.    </w:t>
      </w:r>
      <w:r w:rsidR="009B504B" w:rsidRPr="00E655F4">
        <w:rPr>
          <w:rFonts w:ascii="Times New Roman" w:hAnsi="Times New Roman" w:cs="Times New Roman"/>
          <w:b/>
          <w:sz w:val="24"/>
          <w:szCs w:val="24"/>
        </w:rPr>
        <w:t>ANEMIA APLASTICA</w:t>
      </w:r>
    </w:p>
    <w:p w14:paraId="6AED97E1" w14:textId="2677E8F7" w:rsidR="009B504B" w:rsidRDefault="00EE56CC" w:rsidP="00E22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3E7D99" w:rsidRPr="003E7D99">
        <w:rPr>
          <w:rFonts w:ascii="Times New Roman" w:hAnsi="Times New Roman" w:cs="Times New Roman"/>
          <w:sz w:val="24"/>
          <w:szCs w:val="24"/>
        </w:rPr>
        <w:t>hidurile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ASH COVID-19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3E7D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E7D99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="003E7D99">
        <w:rPr>
          <w:rFonts w:ascii="Times New Roman" w:hAnsi="Times New Roman" w:cs="Times New Roman"/>
          <w:sz w:val="24"/>
          <w:szCs w:val="24"/>
        </w:rPr>
        <w:t xml:space="preserve"> anemia </w:t>
      </w:r>
      <w:proofErr w:type="spellStart"/>
      <w:r w:rsidR="003E7D99">
        <w:rPr>
          <w:rFonts w:ascii="Times New Roman" w:hAnsi="Times New Roman" w:cs="Times New Roman"/>
          <w:sz w:val="24"/>
          <w:szCs w:val="24"/>
        </w:rPr>
        <w:t>aplastica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riscul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versus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favoriza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administrarea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vaccinului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special la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cei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riscuri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suplimentare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dezvolta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forme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severe de Covid-19 (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vârstă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obezitate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comorbidități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asociate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risc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crescut</w:t>
      </w:r>
      <w:proofErr w:type="spellEnd"/>
      <w:r w:rsidR="003E7D99" w:rsidRPr="003E7D9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E7D99" w:rsidRPr="003E7D99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pacienții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imunosupresati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3E7D99" w:rsidRPr="003E7D99">
        <w:rPr>
          <w:rFonts w:ascii="Times New Roman" w:hAnsi="Times New Roman" w:cs="Times New Roman"/>
          <w:sz w:val="24"/>
          <w:szCs w:val="24"/>
        </w:rPr>
        <w:t>ste</w:t>
      </w:r>
      <w:proofErr w:type="spellEnd"/>
      <w:proofErr w:type="gram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D99" w:rsidRPr="003E7D99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acești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pacienți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termen de 6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ATG/CSA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vaccinului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Paci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3E7D99" w:rsidRPr="003E7D99">
        <w:rPr>
          <w:rFonts w:ascii="Times New Roman" w:hAnsi="Times New Roman" w:cs="Times New Roman"/>
          <w:sz w:val="24"/>
          <w:szCs w:val="24"/>
        </w:rPr>
        <w:t>ntii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E7D99">
        <w:rPr>
          <w:rFonts w:ascii="Times New Roman" w:hAnsi="Times New Roman" w:cs="Times New Roman"/>
          <w:sz w:val="24"/>
          <w:szCs w:val="24"/>
        </w:rPr>
        <w:t>anemie</w:t>
      </w:r>
      <w:proofErr w:type="spellEnd"/>
      <w:r w:rsid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>
        <w:rPr>
          <w:rFonts w:ascii="Times New Roman" w:hAnsi="Times New Roman" w:cs="Times New Roman"/>
          <w:sz w:val="24"/>
          <w:szCs w:val="24"/>
        </w:rPr>
        <w:t>aplastica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7D99" w:rsidRPr="003E7D99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 pe</w:t>
      </w:r>
      <w:proofErr w:type="gram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CSA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de 6-12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ATG  pot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imunitate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D99" w:rsidRPr="003E7D99">
        <w:rPr>
          <w:rFonts w:ascii="Times New Roman" w:hAnsi="Times New Roman" w:cs="Times New Roman"/>
          <w:sz w:val="24"/>
          <w:szCs w:val="24"/>
        </w:rPr>
        <w:t>vaccinului</w:t>
      </w:r>
      <w:proofErr w:type="spellEnd"/>
      <w:r w:rsidR="003E7D99" w:rsidRPr="003E7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47619" w14:textId="5FF29269" w:rsidR="003A73DE" w:rsidRPr="003A73DE" w:rsidRDefault="003A73DE" w:rsidP="00EE56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3DE">
        <w:rPr>
          <w:rFonts w:ascii="Times New Roman" w:hAnsi="Times New Roman" w:cs="Times New Roman"/>
          <w:b/>
          <w:bCs/>
          <w:sz w:val="24"/>
          <w:szCs w:val="24"/>
        </w:rPr>
        <w:t>CONCLUZII:</w:t>
      </w:r>
    </w:p>
    <w:p w14:paraId="7550EF1A" w14:textId="3D001A4A" w:rsidR="003A73DE" w:rsidRPr="003A73DE" w:rsidRDefault="003A73DE" w:rsidP="003A73D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hematologici</w:t>
      </w:r>
      <w:proofErr w:type="spellEnd"/>
      <w:r w:rsidR="0048612E">
        <w:rPr>
          <w:rFonts w:ascii="Times New Roman" w:hAnsi="Times New Roman" w:cs="Times New Roman"/>
          <w:sz w:val="24"/>
          <w:szCs w:val="24"/>
        </w:rPr>
        <w:t xml:space="preserve"> (inclusiv </w:t>
      </w:r>
      <w:proofErr w:type="spellStart"/>
      <w:r w:rsidR="0048612E">
        <w:rPr>
          <w:rFonts w:ascii="Times New Roman" w:hAnsi="Times New Roman" w:cs="Times New Roman"/>
          <w:sz w:val="24"/>
          <w:szCs w:val="24"/>
        </w:rPr>
        <w:t>leucemiile</w:t>
      </w:r>
      <w:proofErr w:type="spellEnd"/>
      <w:r w:rsidR="0048612E">
        <w:rPr>
          <w:rFonts w:ascii="Times New Roman" w:hAnsi="Times New Roman" w:cs="Times New Roman"/>
          <w:sz w:val="24"/>
          <w:szCs w:val="24"/>
        </w:rPr>
        <w:t xml:space="preserve"> acute)</w:t>
      </w:r>
      <w:r w:rsidRPr="003A73DE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contraindicatie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afectiunea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hematologica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3DE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legat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eficacitate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>;</w:t>
      </w:r>
    </w:p>
    <w:p w14:paraId="00B7F829" w14:textId="004E80F5" w:rsidR="003A73DE" w:rsidRPr="003A73DE" w:rsidRDefault="003A73DE" w:rsidP="003A73D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3DE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r w:rsidRPr="003A73D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r w:rsidRPr="003A73D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curant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hematolog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cunoaste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A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3DE">
        <w:rPr>
          <w:rFonts w:ascii="Times New Roman" w:hAnsi="Times New Roman" w:cs="Times New Roman"/>
          <w:sz w:val="24"/>
          <w:szCs w:val="24"/>
        </w:rPr>
        <w:t>patologia</w:t>
      </w:r>
      <w:proofErr w:type="spellEnd"/>
    </w:p>
    <w:p w14:paraId="64836B11" w14:textId="70BFB201" w:rsidR="00EE56CC" w:rsidRPr="00E655F4" w:rsidRDefault="00EE56CC" w:rsidP="00EE56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Deoarece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eficacitatea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vaccinului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Pfizer /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BioNtech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nu fie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garantată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pacientilor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imunocompr</w:t>
      </w:r>
      <w:r w:rsidR="003A73DE">
        <w:rPr>
          <w:rFonts w:ascii="Times New Roman" w:hAnsi="Times New Roman" w:cs="Times New Roman"/>
          <w:b/>
          <w:sz w:val="24"/>
          <w:szCs w:val="24"/>
        </w:rPr>
        <w:t>o</w:t>
      </w:r>
      <w:r w:rsidRPr="003F1ECA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necesar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ca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toți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pacienții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vaccinați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mențină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distanțarea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socială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respecte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normele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protecția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impuse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F1ECA">
        <w:rPr>
          <w:rFonts w:ascii="Times New Roman" w:hAnsi="Times New Roman" w:cs="Times New Roman"/>
          <w:b/>
          <w:sz w:val="24"/>
          <w:szCs w:val="24"/>
        </w:rPr>
        <w:t>autorități</w:t>
      </w:r>
      <w:proofErr w:type="spellEnd"/>
      <w:r w:rsidRPr="003F1ECA">
        <w:rPr>
          <w:rFonts w:ascii="Times New Roman" w:hAnsi="Times New Roman" w:cs="Times New Roman"/>
          <w:b/>
          <w:sz w:val="24"/>
          <w:szCs w:val="24"/>
        </w:rPr>
        <w:t>.</w:t>
      </w:r>
    </w:p>
    <w:p w14:paraId="56CB1E6A" w14:textId="54D0EE37" w:rsidR="00585D71" w:rsidRPr="00E655F4" w:rsidRDefault="001A1C3A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Aceste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se pot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schimba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rapid,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recomandările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bazate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ghidurile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4E12" w:rsidRPr="00E655F4">
        <w:rPr>
          <w:rFonts w:ascii="Times New Roman" w:hAnsi="Times New Roman" w:cs="Times New Roman"/>
          <w:b/>
          <w:sz w:val="24"/>
          <w:szCs w:val="24"/>
        </w:rPr>
        <w:t>actualizate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AF1">
        <w:rPr>
          <w:rFonts w:ascii="Times New Roman" w:hAnsi="Times New Roman" w:cs="Times New Roman"/>
          <w:b/>
          <w:sz w:val="24"/>
          <w:szCs w:val="24"/>
        </w:rPr>
        <w:t>imediat</w:t>
      </w:r>
      <w:proofErr w:type="spellEnd"/>
      <w:r w:rsidR="00773A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AF1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773A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AF1">
        <w:rPr>
          <w:rFonts w:ascii="Times New Roman" w:hAnsi="Times New Roman" w:cs="Times New Roman"/>
          <w:b/>
          <w:sz w:val="24"/>
          <w:szCs w:val="24"/>
        </w:rPr>
        <w:t>acestea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devin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disponibile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adaptate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fiecărui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5F4">
        <w:rPr>
          <w:rFonts w:ascii="Times New Roman" w:hAnsi="Times New Roman" w:cs="Times New Roman"/>
          <w:b/>
          <w:sz w:val="24"/>
          <w:szCs w:val="24"/>
        </w:rPr>
        <w:t>parte</w:t>
      </w:r>
      <w:proofErr w:type="spellEnd"/>
      <w:r w:rsidRPr="00E655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F9CF411" w14:textId="033D6E23" w:rsidR="00E655F4" w:rsidRPr="00E655F4" w:rsidRDefault="003E306B" w:rsidP="00E22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 REFERINTE BIBLIOGRAFICE</w:t>
      </w:r>
      <w:r w:rsidR="00E655F4" w:rsidRPr="00E655F4">
        <w:rPr>
          <w:rFonts w:ascii="Times New Roman" w:hAnsi="Times New Roman" w:cs="Times New Roman"/>
          <w:b/>
          <w:sz w:val="24"/>
          <w:szCs w:val="24"/>
        </w:rPr>
        <w:t>:</w:t>
      </w:r>
    </w:p>
    <w:p w14:paraId="1D6416E1" w14:textId="77777777" w:rsidR="00E655F4" w:rsidRDefault="00156E93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E655F4" w:rsidRPr="00E655F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https://www.hematology.org/covid-19/ash-astct-covid-19-and-vaccines</w:t>
        </w:r>
      </w:hyperlink>
    </w:p>
    <w:p w14:paraId="0FD1FB9E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Goodman JL,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Grabenstein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JD, Braun MM. Answering Key Questions About COVID-19 Vaccines. JAMA 2020.</w:t>
      </w:r>
    </w:p>
    <w:p w14:paraId="450BF0F1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Xia S, Duan K, Zhang Y, et al. Effect of an Inactivated Vaccine Against SARS-CoV-2 on Safety and Immunogenicity Outcomes: Interim Analysis of 2 Randomized Clinical Trials. JAMA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2020;324:951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-60.</w:t>
      </w:r>
    </w:p>
    <w:p w14:paraId="3FD2F737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Keech C, Albert G, Cho I, et al. Phase 1-2 Trial of a SARS-CoV-2 Recombinant Spike Protein Nanoparticle Vaccine. N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Engl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J Med 2020.</w:t>
      </w:r>
    </w:p>
    <w:p w14:paraId="5048B602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Folegatti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PM, Ewer KJ,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Aley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PK, et al. Safety and immunogenicity of the ChAdOx1 nCoV-19 vaccine against SARS-CoV-2: a preliminary report of a phase 1/2, single-blind,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randomised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controlled trial. Lancet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2020;396:467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-78.</w:t>
      </w:r>
    </w:p>
    <w:p w14:paraId="02C59E28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Zhu FC, Guan XH, Li YH, et al. Immunogenicity and safety of a recombinant adenovirus type-5-vectored COVID-19 vaccine in healthy adults aged 18 years or older: a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randomised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, double-blind, placebo-controlled, phase 2 trial. Lancet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2020;396:479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-88.</w:t>
      </w:r>
    </w:p>
    <w:p w14:paraId="108CEF3C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Anderson EJ,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Rouphael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NG,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Widge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AT, et al. Safety and Immunogenicity of SARS-CoV-2 mRNA-1273 Vaccine in Older Adults. N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Engl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J Med 2020.</w:t>
      </w:r>
    </w:p>
    <w:p w14:paraId="2FDAF9C3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Walsh EE,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Frenck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RW, Jr.,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Falsey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AR, et al. Safety and Immunogenicity of Two RNA-Based Covid-19 Vaccine Candidates. N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Engl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J Med 2020.</w:t>
      </w:r>
    </w:p>
    <w:p w14:paraId="745815B4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Rubin LG, Levin MJ,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Ljungman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P, et al. 2013 IDSA clinical practice guideline for vaccination of the immunocompromised host. Clin Infect Dis 2014;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58:e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44-100.</w:t>
      </w:r>
    </w:p>
    <w:p w14:paraId="2EEB6A44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5F4">
        <w:rPr>
          <w:rFonts w:ascii="Times New Roman" w:hAnsi="Times New Roman" w:cs="Times New Roman"/>
          <w:bCs/>
          <w:sz w:val="24"/>
          <w:szCs w:val="24"/>
        </w:rPr>
        <w:t xml:space="preserve">Bos R, Rutten L, van der Lubbe JEM, et al. Ad26 vector-based COVID-19 vaccine encoding a prefusion-stabilized SARS-CoV-2 Spike immunogen induces potent humoral and cellular immune responses. NPJ Vaccines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2020;5:91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573B9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Dagnew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AF, Ilhan O, Lee WS, et al. Immunogenicity and safety of the adjuvanted recombinant zoster vaccine in adults with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haematological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malignancies: a phase 3,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randomised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, clinical trial and post-hoc efficacy analysis. Lancet Infect Dis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2019;19:988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-1000.</w:t>
      </w:r>
    </w:p>
    <w:p w14:paraId="1A561790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Pardi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N, Hogan MJ, Porter FW, Weissman D. mRNA vaccines - a new era in vaccinology. Nat Rev Drug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Discov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2018;17:261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-79.</w:t>
      </w:r>
    </w:p>
    <w:p w14:paraId="57C9BDCC" w14:textId="77777777" w:rsidR="00E655F4" w:rsidRDefault="00E655F4" w:rsidP="00E655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Bolke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E,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Matuschek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C, Fischer JC. Loss of Anti-SARS-CoV-2 Antibodies in Mild Covid-19. N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Engl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J Med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2020;383:1694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-5.</w:t>
      </w:r>
    </w:p>
    <w:p w14:paraId="7244B582" w14:textId="77777777" w:rsidR="00FF1BC7" w:rsidRDefault="00E655F4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Terpos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E, Mentis A,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Dimopoulos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MA. Loss of Anti-SARS-CoV-2 Antibodies in Mild Covid-19. N </w:t>
      </w:r>
      <w:proofErr w:type="spellStart"/>
      <w:r w:rsidRPr="00E655F4">
        <w:rPr>
          <w:rFonts w:ascii="Times New Roman" w:hAnsi="Times New Roman" w:cs="Times New Roman"/>
          <w:bCs/>
          <w:sz w:val="24"/>
          <w:szCs w:val="24"/>
        </w:rPr>
        <w:t>Engl</w:t>
      </w:r>
      <w:proofErr w:type="spellEnd"/>
      <w:r w:rsidRPr="00E655F4">
        <w:rPr>
          <w:rFonts w:ascii="Times New Roman" w:hAnsi="Times New Roman" w:cs="Times New Roman"/>
          <w:bCs/>
          <w:sz w:val="24"/>
          <w:szCs w:val="24"/>
        </w:rPr>
        <w:t xml:space="preserve"> J Med </w:t>
      </w:r>
      <w:proofErr w:type="gramStart"/>
      <w:r w:rsidRPr="00E655F4">
        <w:rPr>
          <w:rFonts w:ascii="Times New Roman" w:hAnsi="Times New Roman" w:cs="Times New Roman"/>
          <w:bCs/>
          <w:sz w:val="24"/>
          <w:szCs w:val="24"/>
        </w:rPr>
        <w:t>2020;383:1695</w:t>
      </w:r>
      <w:proofErr w:type="gramEnd"/>
      <w:r w:rsidRPr="00E655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95C9EB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https://www.gov.uk/government/collections/immunisation-against-infectious-disease-the-green-book</w:t>
        </w:r>
      </w:hyperlink>
    </w:p>
    <w:p w14:paraId="34575702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https://www.gov.uk/government/publications/priority-groups-for-coronavirus-covid-19-vaccination-advice-from-the-jcvi-2-december-2020</w:t>
        </w:r>
      </w:hyperlink>
    </w:p>
    <w:p w14:paraId="50190AE6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https://www.gov.uk/government/publications/guidance-on-shielding-and-protecting-extremely-vulnerable-persons-from-covid-19/guidance-on-shielding-and-protecting-extremely-vulnerable-persons-from-covid-19</w:t>
        </w:r>
      </w:hyperlink>
    </w:p>
    <w:p w14:paraId="3F898D7B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https://www.nationalhaempanel-nhs.net/covid19</w:t>
        </w:r>
      </w:hyperlink>
    </w:p>
    <w:p w14:paraId="3F262870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https://bsbmtct.org/wp-content/uploads/2020/12/BSBMTCT-COVID-19-Guidelines-5.0-Dec-2020_final.pdf</w:t>
        </w:r>
      </w:hyperlink>
    </w:p>
    <w:p w14:paraId="0B6CB988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www.gov.uk/coronavirus</w:t>
        </w:r>
      </w:hyperlink>
      <w:r w:rsidR="00FF1BC7" w:rsidRPr="00FF1BC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2D3D35" w14:textId="77777777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FF1BC7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www.hematology.org/covid-19/covid-19-and-aplastic-anemia</w:t>
        </w:r>
      </w:hyperlink>
    </w:p>
    <w:p w14:paraId="1BFBB734" w14:textId="3F4FC2E9" w:rsidR="00FF1BC7" w:rsidRDefault="00156E93" w:rsidP="00FF1B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="00773AF1" w:rsidRPr="002153D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https://www.sps.nhs.uk/articles/summary-of-covid-19-medicines-guidance-haematological-disorders/</w:t>
        </w:r>
      </w:hyperlink>
    </w:p>
    <w:p w14:paraId="7E9D0F2E" w14:textId="77777777" w:rsidR="00773AF1" w:rsidRPr="00FF1BC7" w:rsidRDefault="00773AF1" w:rsidP="00773AF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73AF1" w:rsidRPr="00FF1BC7" w:rsidSect="003B5F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B7544"/>
    <w:multiLevelType w:val="hybridMultilevel"/>
    <w:tmpl w:val="EF24D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FF4"/>
    <w:multiLevelType w:val="hybridMultilevel"/>
    <w:tmpl w:val="477E4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4123"/>
    <w:multiLevelType w:val="hybridMultilevel"/>
    <w:tmpl w:val="23C492D4"/>
    <w:lvl w:ilvl="0" w:tplc="0FB4D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803"/>
    <w:multiLevelType w:val="hybridMultilevel"/>
    <w:tmpl w:val="9056B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18B0"/>
    <w:multiLevelType w:val="hybridMultilevel"/>
    <w:tmpl w:val="8626E61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71AE0"/>
    <w:multiLevelType w:val="hybridMultilevel"/>
    <w:tmpl w:val="8EA49E4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5C58"/>
    <w:multiLevelType w:val="hybridMultilevel"/>
    <w:tmpl w:val="EB745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3690"/>
    <w:multiLevelType w:val="hybridMultilevel"/>
    <w:tmpl w:val="EA267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81244"/>
    <w:multiLevelType w:val="hybridMultilevel"/>
    <w:tmpl w:val="E0E66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45DB1"/>
    <w:multiLevelType w:val="hybridMultilevel"/>
    <w:tmpl w:val="19C61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E35"/>
    <w:multiLevelType w:val="hybridMultilevel"/>
    <w:tmpl w:val="11ECD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06EC5"/>
    <w:multiLevelType w:val="hybridMultilevel"/>
    <w:tmpl w:val="7CBC9E1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E63D4B"/>
    <w:multiLevelType w:val="hybridMultilevel"/>
    <w:tmpl w:val="44FE2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D5857"/>
    <w:multiLevelType w:val="hybridMultilevel"/>
    <w:tmpl w:val="9FAE78C8"/>
    <w:lvl w:ilvl="0" w:tplc="0FB4DE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EC6E47"/>
    <w:multiLevelType w:val="hybridMultilevel"/>
    <w:tmpl w:val="ECFC1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22F53"/>
    <w:multiLevelType w:val="hybridMultilevel"/>
    <w:tmpl w:val="5E8A2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1388"/>
    <w:multiLevelType w:val="hybridMultilevel"/>
    <w:tmpl w:val="DDACB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7"/>
  </w:num>
  <w:num w:numId="13">
    <w:abstractNumId w:val="16"/>
  </w:num>
  <w:num w:numId="14">
    <w:abstractNumId w:val="0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71"/>
    <w:rsid w:val="00011F3A"/>
    <w:rsid w:val="00037536"/>
    <w:rsid w:val="00055642"/>
    <w:rsid w:val="000717BD"/>
    <w:rsid w:val="000869F6"/>
    <w:rsid w:val="00094045"/>
    <w:rsid w:val="000C3A56"/>
    <w:rsid w:val="000E6F05"/>
    <w:rsid w:val="000E722E"/>
    <w:rsid w:val="000F7CA6"/>
    <w:rsid w:val="00117A27"/>
    <w:rsid w:val="00121FD5"/>
    <w:rsid w:val="00156E93"/>
    <w:rsid w:val="001A0312"/>
    <w:rsid w:val="001A1C3A"/>
    <w:rsid w:val="001F6227"/>
    <w:rsid w:val="00310BB6"/>
    <w:rsid w:val="00395BC5"/>
    <w:rsid w:val="003A6EF8"/>
    <w:rsid w:val="003A73DE"/>
    <w:rsid w:val="003B5F97"/>
    <w:rsid w:val="003E306B"/>
    <w:rsid w:val="003E7D99"/>
    <w:rsid w:val="003F1ECA"/>
    <w:rsid w:val="004501D5"/>
    <w:rsid w:val="00453431"/>
    <w:rsid w:val="0048292A"/>
    <w:rsid w:val="0048612E"/>
    <w:rsid w:val="00492F24"/>
    <w:rsid w:val="00497196"/>
    <w:rsid w:val="004D19D1"/>
    <w:rsid w:val="00547504"/>
    <w:rsid w:val="00585D71"/>
    <w:rsid w:val="00587EE2"/>
    <w:rsid w:val="005A2A12"/>
    <w:rsid w:val="005A5FBB"/>
    <w:rsid w:val="005B7810"/>
    <w:rsid w:val="00621039"/>
    <w:rsid w:val="00633967"/>
    <w:rsid w:val="00633FA3"/>
    <w:rsid w:val="00652397"/>
    <w:rsid w:val="00653EF8"/>
    <w:rsid w:val="00661DE3"/>
    <w:rsid w:val="00672F61"/>
    <w:rsid w:val="006764AE"/>
    <w:rsid w:val="006A591B"/>
    <w:rsid w:val="0074123F"/>
    <w:rsid w:val="00773AF1"/>
    <w:rsid w:val="0078462C"/>
    <w:rsid w:val="0082793D"/>
    <w:rsid w:val="00853B76"/>
    <w:rsid w:val="008D549C"/>
    <w:rsid w:val="008F3A60"/>
    <w:rsid w:val="00964262"/>
    <w:rsid w:val="009B504B"/>
    <w:rsid w:val="009D06E9"/>
    <w:rsid w:val="00A15CF2"/>
    <w:rsid w:val="00A20F1D"/>
    <w:rsid w:val="00AA14F4"/>
    <w:rsid w:val="00AA273E"/>
    <w:rsid w:val="00AB4C47"/>
    <w:rsid w:val="00AC6ECC"/>
    <w:rsid w:val="00AF7C73"/>
    <w:rsid w:val="00B90D7A"/>
    <w:rsid w:val="00BF2249"/>
    <w:rsid w:val="00C03E3B"/>
    <w:rsid w:val="00C41FE8"/>
    <w:rsid w:val="00CB4E12"/>
    <w:rsid w:val="00D02547"/>
    <w:rsid w:val="00D32D15"/>
    <w:rsid w:val="00D66071"/>
    <w:rsid w:val="00D90EF4"/>
    <w:rsid w:val="00DE1822"/>
    <w:rsid w:val="00DF1D7A"/>
    <w:rsid w:val="00E22872"/>
    <w:rsid w:val="00E41A3C"/>
    <w:rsid w:val="00E520AE"/>
    <w:rsid w:val="00E655F4"/>
    <w:rsid w:val="00E72BF9"/>
    <w:rsid w:val="00E80396"/>
    <w:rsid w:val="00EA6554"/>
    <w:rsid w:val="00EB2756"/>
    <w:rsid w:val="00EB2BA0"/>
    <w:rsid w:val="00EE56CC"/>
    <w:rsid w:val="00F00F64"/>
    <w:rsid w:val="00F3593E"/>
    <w:rsid w:val="00FA33B4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E4FB"/>
  <w15:docId w15:val="{1FFCA809-7750-DE46-A2C6-8BFD6CC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1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1C3A"/>
    <w:rPr>
      <w:rFonts w:ascii="Courier New" w:eastAsiaTheme="minorEastAsia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A1C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5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13" Type="http://schemas.openxmlformats.org/officeDocument/2006/relationships/hyperlink" Target="https://www.sps.nhs.uk/articles/summary-of-covid-19-medicines-guidance-haematological-disord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priority-groups-for-coronavirus-covid-19-vaccination-advice-from-the-jcvi-2-december-2020" TargetMode="External"/><Relationship Id="rId12" Type="http://schemas.openxmlformats.org/officeDocument/2006/relationships/hyperlink" Target="http://www.hematology.org/covid-19/covid-19-and-aplastic-anem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collections/immunisation-against-infectious-disease-the-green-book" TargetMode="External"/><Relationship Id="rId11" Type="http://schemas.openxmlformats.org/officeDocument/2006/relationships/hyperlink" Target="http://www.gov.uk/coronavirus" TargetMode="External"/><Relationship Id="rId5" Type="http://schemas.openxmlformats.org/officeDocument/2006/relationships/hyperlink" Target="https://www.hematology.org/covid-19/ash-astct-covid-19-and-vaccin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sbmtct.org/wp-content/uploads/2020/12/BSBMTCT-COVID-19-Guidelines-5.0-Dec-2020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ionalhaempanel-nhs.net/covid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icfundeni</Company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prof. univ. dr. TANASE Alina</cp:lastModifiedBy>
  <cp:revision>2</cp:revision>
  <cp:lastPrinted>2021-01-15T06:40:00Z</cp:lastPrinted>
  <dcterms:created xsi:type="dcterms:W3CDTF">2021-01-15T13:16:00Z</dcterms:created>
  <dcterms:modified xsi:type="dcterms:W3CDTF">2021-01-15T13:16:00Z</dcterms:modified>
</cp:coreProperties>
</file>